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5.2.6采用通风间层保温隔热屋面、蓄水屋面或植被屋面。（总分5分）</w:t>
      </w:r>
    </w:p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numPr>
          <w:ilvl w:val="0"/>
          <w:numId w:val="1"/>
        </w:numPr>
        <w:spacing w:line="288" w:lineRule="auto"/>
        <w:ind w:firstLine="422"/>
        <w:rPr>
          <w:rFonts w:hint="eastAsia"/>
        </w:rPr>
      </w:pPr>
      <w:r>
        <w:rPr>
          <w:rFonts w:hint="eastAsia"/>
          <w:b/>
        </w:rPr>
        <w:t>得分自评：</w:t>
      </w:r>
      <w:r>
        <w:rPr>
          <w:rFonts w:hint="eastAsia"/>
        </w:rPr>
        <w:t>（超高层建筑不参评）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  <w:lang w:eastAsia="zh-CN"/>
        </w:rPr>
        <w:t>公共建筑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lang w:val="en-US" w:eastAsia="zh-CN"/>
        </w:rPr>
        <w:t xml:space="preserve"> 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1074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96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可利用屋面采用通风间层保温隔热屋面、蓄水屋面或植被屋面均可得分，超高层居住建筑此项不参评。</w:t>
            </w:r>
          </w:p>
          <w:p>
            <w:pPr>
              <w:pStyle w:val="5"/>
            </w:pPr>
            <w:r>
              <w:rPr>
                <w:rFonts w:hint="eastAsia"/>
              </w:rPr>
              <w:t>坡屋面如设有老虎窗、通风百叶等通风构造措施，可视为通风间层保温隔热屋面。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  <w:lang w:eastAsia="zh-CN"/>
        </w:rPr>
        <w:t>居住建筑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lang w:val="en-US" w:eastAsia="zh-CN"/>
        </w:rPr>
        <w:t xml:space="preserve"> 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1074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96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可利用屋面采用通风间层保温隔热屋面、蓄水屋面或植被屋面均可得分，超高层居住建筑此项不参评。</w:t>
            </w:r>
          </w:p>
          <w:p>
            <w:pPr>
              <w:pStyle w:val="5"/>
            </w:pPr>
            <w:r>
              <w:rPr>
                <w:rFonts w:hint="eastAsia"/>
              </w:rPr>
              <w:t>坡屋面如设有老虎窗、通风百叶等通风构造措施，可视为通风间层保温隔热屋面。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1）达到75%；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2）达到100%。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）评价要点：</w:t>
      </w:r>
    </w:p>
    <w:p>
      <w:pPr>
        <w:spacing w:line="288" w:lineRule="auto"/>
        <w:ind w:firstLine="420"/>
      </w:pPr>
      <w:r>
        <w:rPr>
          <w:rFonts w:hint="eastAsia"/>
        </w:rPr>
        <w:t>屋顶隔热措施面积比</w:t>
      </w:r>
    </w:p>
    <w:tbl>
      <w:tblPr>
        <w:tblStyle w:val="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3"/>
        <w:gridCol w:w="1624"/>
        <w:gridCol w:w="1640"/>
        <w:gridCol w:w="1551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5"/>
            </w:pPr>
            <w:r>
              <w:t>建筑名称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5"/>
            </w:pPr>
            <w:r>
              <w:t>隔热措施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5"/>
            </w:pPr>
            <w:r>
              <w:t>屋顶面积（m</w:t>
            </w:r>
            <w:r>
              <w:rPr>
                <w:vertAlign w:val="superscript"/>
              </w:rPr>
              <w:t>2</w:t>
            </w:r>
            <w:r>
              <w:t>）</w:t>
            </w:r>
          </w:p>
        </w:tc>
        <w:tc>
          <w:tcPr>
            <w:tcW w:w="1640" w:type="dxa"/>
            <w:noWrap/>
            <w:vAlign w:val="center"/>
          </w:tcPr>
          <w:p>
            <w:pPr>
              <w:pStyle w:val="5"/>
            </w:pPr>
            <w:r>
              <w:t>可</w:t>
            </w:r>
            <w:r>
              <w:rPr>
                <w:rFonts w:hint="eastAsia"/>
              </w:rPr>
              <w:t>利用屋面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采用隔热措施的</w:t>
            </w:r>
            <w:r>
              <w:t>面积(m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82" w:type="dxa"/>
            <w:noWrap/>
            <w:vAlign w:val="center"/>
          </w:tcPr>
          <w:p>
            <w:pPr>
              <w:pStyle w:val="5"/>
            </w:pPr>
            <w:r>
              <w:t>面积比(%)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40" w:type="dxa"/>
            <w:noWrap/>
            <w:vAlign w:val="center"/>
          </w:tcPr>
          <w:p>
            <w:pPr>
              <w:pStyle w:val="5"/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82" w:type="dxa"/>
            <w:noWrap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40" w:type="dxa"/>
            <w:noWrap/>
            <w:vAlign w:val="center"/>
          </w:tcPr>
          <w:p>
            <w:pPr>
              <w:pStyle w:val="5"/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82" w:type="dxa"/>
            <w:noWrap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40" w:type="dxa"/>
            <w:noWrap/>
            <w:vAlign w:val="center"/>
          </w:tcPr>
          <w:p>
            <w:pPr>
              <w:pStyle w:val="5"/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82" w:type="dxa"/>
            <w:noWrap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40" w:type="dxa"/>
            <w:noWrap/>
            <w:vAlign w:val="center"/>
          </w:tcPr>
          <w:p>
            <w:pPr>
              <w:pStyle w:val="5"/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82" w:type="dxa"/>
            <w:noWrap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  <w:rPr>
          <w:rFonts w:ascii="宋体" w:cs="宋体"/>
          <w:b/>
          <w:kern w:val="0"/>
        </w:rPr>
      </w:pPr>
      <w:r>
        <w:rPr>
          <w:rFonts w:ascii="宋体" w:cs="宋体"/>
          <w:b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提交材料及要求：</w:t>
      </w:r>
    </w:p>
    <w:p>
      <w:pPr>
        <w:spacing w:line="288" w:lineRule="auto"/>
        <w:ind w:firstLine="420"/>
        <w:rPr>
          <w:rFonts w:cs="宋体"/>
          <w:bCs/>
        </w:rPr>
      </w:pPr>
      <w:r>
        <w:rPr>
          <w:rFonts w:hint="eastAsia" w:cs="宋体"/>
        </w:rPr>
        <w:t>1.建筑施工图及设计说明：含</w:t>
      </w:r>
      <w:r>
        <w:rPr>
          <w:rFonts w:hint="eastAsia" w:cs="宋体"/>
          <w:bCs/>
        </w:rPr>
        <w:t>通风间层隔热屋面、蓄水屋面或植被屋面的内容的设计说明，建筑屋顶平面图。</w:t>
      </w:r>
    </w:p>
    <w:p>
      <w:pPr>
        <w:spacing w:line="288" w:lineRule="auto"/>
        <w:ind w:firstLine="420"/>
        <w:rPr>
          <w:rFonts w:cs="宋体"/>
        </w:rPr>
      </w:pPr>
      <w:r>
        <w:rPr>
          <w:rFonts w:hint="eastAsia" w:cs="宋体"/>
          <w:bCs/>
        </w:rPr>
        <w:t>2.通风间层隔热屋面、蓄水屋面或植被屋面的面积比例计算书。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63D84"/>
    <w:multiLevelType w:val="singleLevel"/>
    <w:tmpl w:val="F9763D8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859C3"/>
    <w:rsid w:val="1CC859C3"/>
    <w:rsid w:val="46B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2019-09-02T00:54:00Z</dcterms:created>
  <dc:creator>小情绪丶</dc:creator>
  <cp:lastModifiedBy>小情绪丶</cp:lastModifiedBy>
  <dcterms:modified xsi:type="dcterms:W3CDTF">2019-09-04T01:59:46Z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