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bookmarkStart w:id="7" w:name="_GoBack"/>
      <w:r>
        <w:rPr>
          <w:rFonts w:hint="eastAsia"/>
        </w:rPr>
        <w:t>5.2.9</w:t>
      </w:r>
      <w:bookmarkEnd w:id="7"/>
      <w:r>
        <w:rPr>
          <w:rFonts w:hint="eastAsia"/>
        </w:rPr>
        <w:t xml:space="preserve"> 集中供暖系统热水循环泵的耗电输热比和通风空调系统风机的单位风量耗功率符合现行《湖南省公共建筑节能设计标准》DBJ 43/003等的有关规定，且空调冷热水系统循环水泵的耗电输冷（热）比比现行国家标准《民用建筑供暖通风与空气调节设计规范》GB 50736规定值低20%。（总分5分）</w:t>
      </w:r>
    </w:p>
    <w:p>
      <w:pPr>
        <w:pStyle w:val="4"/>
        <w:spacing w:line="288" w:lineRule="auto"/>
        <w:ind w:firstLine="420"/>
        <w:outlineLvl w:val="9"/>
        <w:rPr>
          <w:sz w:val="21"/>
          <w:szCs w:val="21"/>
        </w:rPr>
      </w:pPr>
    </w:p>
    <w:p>
      <w:pPr>
        <w:pStyle w:val="4"/>
        <w:spacing w:line="288" w:lineRule="auto"/>
        <w:ind w:firstLine="422"/>
        <w:outlineLvl w:val="9"/>
        <w:rPr>
          <w:sz w:val="21"/>
          <w:szCs w:val="21"/>
        </w:rPr>
      </w:pPr>
      <w:bookmarkStart w:id="0" w:name="_Toc435604669"/>
      <w:r>
        <w:rPr>
          <w:rFonts w:hint="eastAsia"/>
          <w:b/>
          <w:sz w:val="21"/>
          <w:szCs w:val="21"/>
        </w:rPr>
        <w:t>1)得分自评：</w:t>
      </w:r>
      <w:bookmarkEnd w:id="0"/>
    </w:p>
    <w:tbl>
      <w:tblPr>
        <w:tblStyle w:val="2"/>
        <w:tblW w:w="85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0"/>
        <w:gridCol w:w="1701"/>
        <w:gridCol w:w="1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trPr>
        <w:tc>
          <w:tcPr>
            <w:tcW w:w="5070" w:type="dxa"/>
            <w:noWrap w:val="0"/>
            <w:vAlign w:val="center"/>
          </w:tcPr>
          <w:p>
            <w:pPr>
              <w:pStyle w:val="5"/>
            </w:pPr>
            <w:r>
              <w:rPr>
                <w:rFonts w:hint="eastAsia"/>
              </w:rPr>
              <w:t>评价内容</w:t>
            </w:r>
          </w:p>
        </w:tc>
        <w:tc>
          <w:tcPr>
            <w:tcW w:w="1701" w:type="dxa"/>
            <w:noWrap w:val="0"/>
            <w:vAlign w:val="center"/>
          </w:tcPr>
          <w:p>
            <w:pPr>
              <w:pStyle w:val="5"/>
            </w:pPr>
            <w:r>
              <w:rPr>
                <w:rFonts w:hint="eastAsia"/>
              </w:rPr>
              <w:t>评价分值（分）</w:t>
            </w:r>
          </w:p>
        </w:tc>
        <w:tc>
          <w:tcPr>
            <w:tcW w:w="1773" w:type="dxa"/>
            <w:noWrap w:val="0"/>
            <w:vAlign w:val="center"/>
          </w:tcPr>
          <w:p>
            <w:pPr>
              <w:pStyle w:val="5"/>
            </w:pPr>
            <w:r>
              <w:rPr>
                <w:rFonts w:hint="eastAsia"/>
              </w:rPr>
              <w:t>自评得分（分）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5070" w:type="dxa"/>
            <w:noWrap w:val="0"/>
            <w:vAlign w:val="top"/>
          </w:tcPr>
          <w:p>
            <w:pPr>
              <w:pStyle w:val="5"/>
            </w:pPr>
            <w:r>
              <w:rPr>
                <w:rFonts w:hint="eastAsia"/>
              </w:rPr>
              <w:t>未采用集中空调和（或）供暖的建筑，本条不参评。</w:t>
            </w:r>
          </w:p>
        </w:tc>
        <w:tc>
          <w:tcPr>
            <w:tcW w:w="1701" w:type="dxa"/>
            <w:noWrap w:val="0"/>
            <w:vAlign w:val="center"/>
          </w:tcPr>
          <w:p>
            <w:pPr>
              <w:pStyle w:val="5"/>
            </w:pPr>
            <w:r>
              <w:rPr>
                <w:rFonts w:hint="eastAsia"/>
              </w:rPr>
              <w:t>5</w:t>
            </w:r>
          </w:p>
        </w:tc>
        <w:tc>
          <w:tcPr>
            <w:tcW w:w="1773" w:type="dxa"/>
            <w:noWrap w:val="0"/>
            <w:vAlign w:val="top"/>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2" w:hRule="atLeast"/>
        </w:trPr>
        <w:tc>
          <w:tcPr>
            <w:tcW w:w="5070" w:type="dxa"/>
            <w:noWrap w:val="0"/>
            <w:vAlign w:val="top"/>
          </w:tcPr>
          <w:p>
            <w:pPr>
              <w:pStyle w:val="5"/>
            </w:pPr>
            <w:r>
              <w:rPr>
                <w:rFonts w:hint="eastAsia"/>
              </w:rPr>
              <w:t>1、供暖系统热水循环泵耗电输热比满足《湖南省公共建筑节能设计标准》DBJ 43/003的要求；</w:t>
            </w:r>
          </w:p>
          <w:p>
            <w:pPr>
              <w:pStyle w:val="5"/>
            </w:pPr>
            <w:r>
              <w:rPr>
                <w:rFonts w:hint="eastAsia"/>
              </w:rPr>
              <w:t>2、通风空调系统风机的单位风量耗功率满足《湖南省公共建筑节能设计标准》DBJ 43/003的要求；</w:t>
            </w:r>
          </w:p>
          <w:p>
            <w:pPr>
              <w:pStyle w:val="5"/>
            </w:pPr>
            <w:r>
              <w:rPr>
                <w:rFonts w:hint="eastAsia"/>
              </w:rPr>
              <w:t>3、空调冷热水系统循环水泵的耗电输冷（热）比应比《民用建筑供暖通风与空气调节设计规范》GB 50736的规定值低20%以上；</w:t>
            </w:r>
          </w:p>
        </w:tc>
        <w:tc>
          <w:tcPr>
            <w:tcW w:w="1701" w:type="dxa"/>
            <w:noWrap w:val="0"/>
            <w:vAlign w:val="center"/>
          </w:tcPr>
          <w:p>
            <w:pPr>
              <w:pStyle w:val="5"/>
            </w:pPr>
            <w:r>
              <w:rPr>
                <w:rFonts w:hint="eastAsia"/>
              </w:rPr>
              <w:t>5</w:t>
            </w:r>
          </w:p>
        </w:tc>
        <w:tc>
          <w:tcPr>
            <w:tcW w:w="1773" w:type="dxa"/>
            <w:noWrap w:val="0"/>
            <w:vAlign w:val="top"/>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5070" w:type="dxa"/>
            <w:noWrap w:val="0"/>
            <w:vAlign w:val="top"/>
          </w:tcPr>
          <w:p>
            <w:pPr>
              <w:pStyle w:val="5"/>
            </w:pPr>
            <w:r>
              <w:rPr>
                <w:rFonts w:hint="eastAsia"/>
              </w:rPr>
              <w:t>对于多联式空调（机组）系统，最大等效配管长度小于等于70m时，不参评，如果最大等效配管长度大于70m时，则需按参评不得分计。</w:t>
            </w:r>
          </w:p>
        </w:tc>
        <w:tc>
          <w:tcPr>
            <w:tcW w:w="1701" w:type="dxa"/>
            <w:noWrap w:val="0"/>
            <w:vAlign w:val="center"/>
          </w:tcPr>
          <w:p>
            <w:pPr>
              <w:pStyle w:val="5"/>
            </w:pPr>
            <w:r>
              <w:rPr>
                <w:rFonts w:hint="eastAsia"/>
              </w:rPr>
              <w:t>5</w:t>
            </w:r>
          </w:p>
        </w:tc>
        <w:tc>
          <w:tcPr>
            <w:tcW w:w="1773" w:type="dxa"/>
            <w:noWrap w:val="0"/>
            <w:vAlign w:val="top"/>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5070" w:type="dxa"/>
            <w:noWrap w:val="0"/>
            <w:vAlign w:val="top"/>
          </w:tcPr>
          <w:p>
            <w:pPr>
              <w:pStyle w:val="5"/>
            </w:pPr>
            <w:r>
              <w:rPr>
                <w:rFonts w:hint="eastAsia"/>
              </w:rPr>
              <w:t>合计</w:t>
            </w:r>
          </w:p>
        </w:tc>
        <w:tc>
          <w:tcPr>
            <w:tcW w:w="1701" w:type="dxa"/>
            <w:noWrap w:val="0"/>
            <w:vAlign w:val="center"/>
          </w:tcPr>
          <w:p>
            <w:pPr>
              <w:pStyle w:val="5"/>
            </w:pPr>
            <w:r>
              <w:rPr>
                <w:rFonts w:hint="eastAsia"/>
              </w:rPr>
              <w:t>5</w:t>
            </w:r>
          </w:p>
        </w:tc>
        <w:tc>
          <w:tcPr>
            <w:tcW w:w="1773" w:type="dxa"/>
            <w:noWrap w:val="0"/>
            <w:vAlign w:val="top"/>
          </w:tcPr>
          <w:p>
            <w:pPr>
              <w:pStyle w:val="5"/>
            </w:pPr>
          </w:p>
        </w:tc>
      </w:tr>
    </w:tbl>
    <w:p>
      <w:pPr>
        <w:pStyle w:val="4"/>
        <w:spacing w:line="288" w:lineRule="auto"/>
        <w:ind w:firstLine="420"/>
        <w:outlineLvl w:val="9"/>
        <w:rPr>
          <w:sz w:val="21"/>
          <w:szCs w:val="21"/>
        </w:rPr>
      </w:pPr>
    </w:p>
    <w:p>
      <w:pPr>
        <w:pStyle w:val="4"/>
        <w:spacing w:line="288" w:lineRule="auto"/>
        <w:ind w:firstLine="422"/>
        <w:outlineLvl w:val="9"/>
        <w:rPr>
          <w:b/>
          <w:sz w:val="21"/>
          <w:szCs w:val="21"/>
        </w:rPr>
      </w:pPr>
      <w:bookmarkStart w:id="1" w:name="_Toc435604671"/>
      <w:r>
        <w:rPr>
          <w:b/>
          <w:sz w:val="21"/>
          <w:szCs w:val="21"/>
        </w:rPr>
        <w:t xml:space="preserve">2) </w:t>
      </w:r>
      <w:r>
        <w:rPr>
          <w:rFonts w:hint="eastAsia"/>
          <w:b/>
          <w:sz w:val="21"/>
          <w:szCs w:val="21"/>
        </w:rPr>
        <w:t>评价要点</w:t>
      </w:r>
      <w:r>
        <w:rPr>
          <w:b/>
          <w:sz w:val="21"/>
          <w:szCs w:val="21"/>
        </w:rPr>
        <w:t>:</w:t>
      </w:r>
      <w:bookmarkEnd w:id="1"/>
    </w:p>
    <w:p>
      <w:pPr>
        <w:ind w:firstLine="420"/>
      </w:pPr>
      <w:r>
        <w:rPr>
          <w:rFonts w:hint="eastAsia"/>
        </w:rPr>
        <w:t>项目是否设置以下系统：</w:t>
      </w:r>
      <w:r>
        <w:rPr>
          <w:rFonts w:hint="eastAsia" w:ascii="MS Gothic" w:hAnsi="MS Gothic" w:eastAsia="MS Gothic"/>
        </w:rPr>
        <w:t>☐</w:t>
      </w:r>
      <w:r>
        <w:rPr>
          <w:rFonts w:hint="eastAsia"/>
        </w:rPr>
        <w:t>集中空调系统</w:t>
      </w:r>
      <w:r>
        <w:rPr>
          <w:rFonts w:hint="eastAsia" w:ascii="MS Gothic" w:hAnsi="MS Gothic" w:eastAsia="MS Gothic"/>
        </w:rPr>
        <w:t>☐</w:t>
      </w:r>
      <w:r>
        <w:rPr>
          <w:rFonts w:hint="eastAsia"/>
        </w:rPr>
        <w:t>集中供暖系统</w:t>
      </w:r>
    </w:p>
    <w:p>
      <w:pPr>
        <w:ind w:firstLine="420"/>
      </w:pPr>
      <w:r>
        <w:rPr>
          <w:rFonts w:hint="eastAsia"/>
        </w:rPr>
        <w:t>供暖系统热水循环泵的耗电输热比，</w:t>
      </w:r>
      <w:r>
        <w:rPr>
          <w:rFonts w:hint="eastAsia"/>
          <w:bCs/>
          <w:lang w:val="zh-CN"/>
        </w:rPr>
        <w:t>是否</w:t>
      </w:r>
      <w:r>
        <w:rPr>
          <w:rFonts w:hint="eastAsia"/>
        </w:rPr>
        <w:t>符合现行GB50189规定：</w:t>
      </w:r>
      <w:r>
        <w:rPr>
          <w:rFonts w:hint="eastAsia" w:ascii="MS Gothic" w:hAnsi="MS Gothic" w:eastAsia="MS Gothic"/>
        </w:rPr>
        <w:t>☐</w:t>
      </w:r>
      <w:r>
        <w:rPr>
          <w:rFonts w:hint="eastAsia"/>
          <w:bCs/>
          <w:lang w:val="zh-CN"/>
        </w:rPr>
        <w:t>是</w:t>
      </w:r>
      <w:r>
        <w:rPr>
          <w:rFonts w:hint="eastAsia" w:ascii="MS Gothic" w:hAnsi="MS Gothic" w:eastAsia="MS Gothic"/>
        </w:rPr>
        <w:t>☐</w:t>
      </w:r>
      <w:r>
        <w:rPr>
          <w:rFonts w:hint="eastAsia"/>
          <w:bCs/>
          <w:lang w:val="zh-CN"/>
        </w:rPr>
        <w:t>否</w:t>
      </w:r>
    </w:p>
    <w:p>
      <w:pPr>
        <w:ind w:firstLine="420"/>
      </w:pPr>
      <w:r>
        <w:rPr>
          <w:rFonts w:hint="eastAsia"/>
        </w:rPr>
        <w:t>空调冷热水系统循环水泵的耗电输冷（热）比，比标准规定值降低幅度%</w:t>
      </w:r>
    </w:p>
    <w:p>
      <w:pPr>
        <w:ind w:firstLine="420"/>
      </w:pPr>
      <w:r>
        <w:rPr>
          <w:rFonts w:hint="eastAsia"/>
        </w:rPr>
        <w:t>通风空调系统风机单位风量耗功率：</w:t>
      </w:r>
    </w:p>
    <w:tbl>
      <w:tblPr>
        <w:tblStyle w:val="2"/>
        <w:tblW w:w="8522" w:type="dxa"/>
        <w:jc w:val="center"/>
        <w:tblInd w:w="0" w:type="dxa"/>
        <w:tblLayout w:type="fixed"/>
        <w:tblCellMar>
          <w:top w:w="0" w:type="dxa"/>
          <w:left w:w="108" w:type="dxa"/>
          <w:bottom w:w="0" w:type="dxa"/>
          <w:right w:w="108" w:type="dxa"/>
        </w:tblCellMar>
      </w:tblPr>
      <w:tblGrid>
        <w:gridCol w:w="1382"/>
        <w:gridCol w:w="1420"/>
        <w:gridCol w:w="3402"/>
        <w:gridCol w:w="2318"/>
      </w:tblGrid>
      <w:tr>
        <w:tblPrEx>
          <w:tblLayout w:type="fixed"/>
          <w:tblCellMar>
            <w:top w:w="0" w:type="dxa"/>
            <w:left w:w="108" w:type="dxa"/>
            <w:bottom w:w="0" w:type="dxa"/>
            <w:right w:w="108" w:type="dxa"/>
          </w:tblCellMar>
        </w:tblPrEx>
        <w:trPr>
          <w:cantSplit/>
          <w:jc w:val="center"/>
        </w:trPr>
        <w:tc>
          <w:tcPr>
            <w:tcW w:w="1382" w:type="dxa"/>
            <w:tcBorders>
              <w:top w:val="single" w:color="auto" w:sz="4" w:space="0"/>
              <w:left w:val="single" w:color="auto" w:sz="4" w:space="0"/>
              <w:bottom w:val="single" w:color="auto" w:sz="4" w:space="0"/>
              <w:right w:val="single" w:color="auto" w:sz="4" w:space="0"/>
            </w:tcBorders>
            <w:noWrap w:val="0"/>
            <w:vAlign w:val="center"/>
          </w:tcPr>
          <w:p>
            <w:pPr>
              <w:pStyle w:val="5"/>
            </w:pPr>
            <w:r>
              <w:rPr>
                <w:rFonts w:hint="eastAsia"/>
              </w:rPr>
              <w:t>设备类型</w:t>
            </w:r>
          </w:p>
        </w:tc>
        <w:tc>
          <w:tcPr>
            <w:tcW w:w="1420" w:type="dxa"/>
            <w:tcBorders>
              <w:top w:val="single" w:color="auto" w:sz="4" w:space="0"/>
              <w:left w:val="nil"/>
              <w:bottom w:val="single" w:color="auto" w:sz="4" w:space="0"/>
              <w:right w:val="single" w:color="auto" w:sz="4" w:space="0"/>
            </w:tcBorders>
            <w:noWrap w:val="0"/>
            <w:vAlign w:val="center"/>
          </w:tcPr>
          <w:p>
            <w:pPr>
              <w:pStyle w:val="5"/>
            </w:pPr>
            <w:r>
              <w:rPr>
                <w:rFonts w:hint="eastAsia"/>
              </w:rPr>
              <w:t>设备编号</w:t>
            </w:r>
          </w:p>
        </w:tc>
        <w:tc>
          <w:tcPr>
            <w:tcW w:w="3402" w:type="dxa"/>
            <w:tcBorders>
              <w:top w:val="single" w:color="auto" w:sz="4" w:space="0"/>
              <w:left w:val="nil"/>
              <w:bottom w:val="single" w:color="auto" w:sz="4" w:space="0"/>
              <w:right w:val="single" w:color="auto" w:sz="4" w:space="0"/>
            </w:tcBorders>
            <w:noWrap w:val="0"/>
            <w:vAlign w:val="center"/>
          </w:tcPr>
          <w:p>
            <w:pPr>
              <w:pStyle w:val="5"/>
            </w:pPr>
            <w:r>
              <w:rPr>
                <w:rFonts w:hint="eastAsia"/>
              </w:rPr>
              <w:t>风机的单位风量耗功率W/（m</w:t>
            </w:r>
            <w:r>
              <w:rPr>
                <w:rFonts w:hint="eastAsia"/>
                <w:vertAlign w:val="superscript"/>
              </w:rPr>
              <w:t>3</w:t>
            </w:r>
            <w:r>
              <w:rPr>
                <w:rFonts w:hint="eastAsia"/>
              </w:rPr>
              <w:t>/h）</w:t>
            </w:r>
          </w:p>
        </w:tc>
        <w:tc>
          <w:tcPr>
            <w:tcW w:w="2318" w:type="dxa"/>
            <w:tcBorders>
              <w:top w:val="single" w:color="auto" w:sz="4" w:space="0"/>
              <w:left w:val="nil"/>
              <w:bottom w:val="single" w:color="auto" w:sz="4" w:space="0"/>
              <w:right w:val="single" w:color="auto" w:sz="4" w:space="0"/>
            </w:tcBorders>
            <w:noWrap w:val="0"/>
            <w:vAlign w:val="top"/>
          </w:tcPr>
          <w:p>
            <w:pPr>
              <w:pStyle w:val="5"/>
            </w:pPr>
            <w:r>
              <w:rPr>
                <w:rFonts w:hint="eastAsia"/>
              </w:rPr>
              <w:t>是否符合要求</w:t>
            </w:r>
          </w:p>
        </w:tc>
      </w:tr>
      <w:tr>
        <w:tblPrEx>
          <w:tblLayout w:type="fixed"/>
          <w:tblCellMar>
            <w:top w:w="0" w:type="dxa"/>
            <w:left w:w="108" w:type="dxa"/>
            <w:bottom w:w="0" w:type="dxa"/>
            <w:right w:w="108" w:type="dxa"/>
          </w:tblCellMar>
        </w:tblPrEx>
        <w:trPr>
          <w:cantSplit/>
          <w:jc w:val="center"/>
        </w:trPr>
        <w:tc>
          <w:tcPr>
            <w:tcW w:w="1382" w:type="dxa"/>
            <w:tcBorders>
              <w:top w:val="nil"/>
              <w:left w:val="single" w:color="auto" w:sz="4" w:space="0"/>
              <w:bottom w:val="single" w:color="auto" w:sz="4" w:space="0"/>
              <w:right w:val="single" w:color="auto" w:sz="4" w:space="0"/>
            </w:tcBorders>
            <w:noWrap w:val="0"/>
            <w:vAlign w:val="top"/>
          </w:tcPr>
          <w:p>
            <w:pPr>
              <w:pStyle w:val="5"/>
            </w:pPr>
          </w:p>
        </w:tc>
        <w:tc>
          <w:tcPr>
            <w:tcW w:w="1420" w:type="dxa"/>
            <w:tcBorders>
              <w:top w:val="nil"/>
              <w:left w:val="nil"/>
              <w:bottom w:val="single" w:color="auto" w:sz="4" w:space="0"/>
              <w:right w:val="single" w:color="auto" w:sz="4" w:space="0"/>
            </w:tcBorders>
            <w:noWrap w:val="0"/>
            <w:vAlign w:val="top"/>
          </w:tcPr>
          <w:p>
            <w:pPr>
              <w:pStyle w:val="5"/>
            </w:pPr>
          </w:p>
        </w:tc>
        <w:tc>
          <w:tcPr>
            <w:tcW w:w="3402" w:type="dxa"/>
            <w:tcBorders>
              <w:top w:val="nil"/>
              <w:left w:val="nil"/>
              <w:bottom w:val="single" w:color="auto" w:sz="4" w:space="0"/>
              <w:right w:val="single" w:color="auto" w:sz="4" w:space="0"/>
            </w:tcBorders>
            <w:noWrap w:val="0"/>
            <w:vAlign w:val="top"/>
          </w:tcPr>
          <w:p>
            <w:pPr>
              <w:pStyle w:val="5"/>
            </w:pPr>
          </w:p>
        </w:tc>
        <w:tc>
          <w:tcPr>
            <w:tcW w:w="2318" w:type="dxa"/>
            <w:tcBorders>
              <w:top w:val="nil"/>
              <w:left w:val="nil"/>
              <w:bottom w:val="single" w:color="auto" w:sz="4" w:space="0"/>
              <w:right w:val="single" w:color="auto" w:sz="4" w:space="0"/>
            </w:tcBorders>
            <w:noWrap w:val="0"/>
            <w:vAlign w:val="top"/>
          </w:tcPr>
          <w:p>
            <w:pPr>
              <w:pStyle w:val="5"/>
              <w:rPr>
                <w:kern w:val="0"/>
                <w:szCs w:val="18"/>
              </w:rPr>
            </w:pPr>
            <w:r>
              <w:rPr>
                <w:rFonts w:hint="eastAsia" w:ascii="MS Gothic" w:hAnsi="MS Gothic" w:eastAsia="MS Gothic"/>
              </w:rPr>
              <w:t>☐</w:t>
            </w:r>
            <w:r>
              <w:rPr>
                <w:rFonts w:hint="eastAsia"/>
                <w:bCs/>
                <w:lang w:val="zh-CN"/>
              </w:rPr>
              <w:t>是</w:t>
            </w:r>
            <w:r>
              <w:rPr>
                <w:rFonts w:hint="eastAsia" w:ascii="MS Gothic" w:hAnsi="MS Gothic" w:eastAsia="MS Gothic"/>
              </w:rPr>
              <w:t>☐</w:t>
            </w:r>
            <w:r>
              <w:rPr>
                <w:rFonts w:hint="eastAsia"/>
                <w:bCs/>
                <w:lang w:val="zh-CN"/>
              </w:rPr>
              <w:t>否</w:t>
            </w:r>
          </w:p>
        </w:tc>
      </w:tr>
      <w:tr>
        <w:tblPrEx>
          <w:tblLayout w:type="fixed"/>
          <w:tblCellMar>
            <w:top w:w="0" w:type="dxa"/>
            <w:left w:w="108" w:type="dxa"/>
            <w:bottom w:w="0" w:type="dxa"/>
            <w:right w:w="108" w:type="dxa"/>
          </w:tblCellMar>
        </w:tblPrEx>
        <w:trPr>
          <w:cantSplit/>
          <w:jc w:val="center"/>
        </w:trPr>
        <w:tc>
          <w:tcPr>
            <w:tcW w:w="1382" w:type="dxa"/>
            <w:tcBorders>
              <w:top w:val="nil"/>
              <w:left w:val="single" w:color="auto" w:sz="4" w:space="0"/>
              <w:bottom w:val="single" w:color="auto" w:sz="4" w:space="0"/>
              <w:right w:val="single" w:color="auto" w:sz="4" w:space="0"/>
            </w:tcBorders>
            <w:noWrap w:val="0"/>
            <w:vAlign w:val="top"/>
          </w:tcPr>
          <w:p>
            <w:pPr>
              <w:pStyle w:val="5"/>
            </w:pPr>
          </w:p>
        </w:tc>
        <w:tc>
          <w:tcPr>
            <w:tcW w:w="1420" w:type="dxa"/>
            <w:tcBorders>
              <w:top w:val="nil"/>
              <w:left w:val="nil"/>
              <w:bottom w:val="single" w:color="auto" w:sz="4" w:space="0"/>
              <w:right w:val="single" w:color="auto" w:sz="4" w:space="0"/>
            </w:tcBorders>
            <w:noWrap w:val="0"/>
            <w:vAlign w:val="top"/>
          </w:tcPr>
          <w:p>
            <w:pPr>
              <w:pStyle w:val="5"/>
            </w:pPr>
          </w:p>
        </w:tc>
        <w:tc>
          <w:tcPr>
            <w:tcW w:w="3402" w:type="dxa"/>
            <w:tcBorders>
              <w:top w:val="nil"/>
              <w:left w:val="nil"/>
              <w:bottom w:val="single" w:color="auto" w:sz="4" w:space="0"/>
              <w:right w:val="single" w:color="auto" w:sz="4" w:space="0"/>
            </w:tcBorders>
            <w:noWrap w:val="0"/>
            <w:vAlign w:val="top"/>
          </w:tcPr>
          <w:p>
            <w:pPr>
              <w:pStyle w:val="5"/>
            </w:pPr>
          </w:p>
        </w:tc>
        <w:tc>
          <w:tcPr>
            <w:tcW w:w="2318" w:type="dxa"/>
            <w:tcBorders>
              <w:top w:val="nil"/>
              <w:left w:val="nil"/>
              <w:bottom w:val="single" w:color="auto" w:sz="4" w:space="0"/>
              <w:right w:val="single" w:color="auto" w:sz="4" w:space="0"/>
            </w:tcBorders>
            <w:noWrap w:val="0"/>
            <w:vAlign w:val="top"/>
          </w:tcPr>
          <w:p>
            <w:pPr>
              <w:pStyle w:val="5"/>
              <w:rPr>
                <w:kern w:val="0"/>
                <w:szCs w:val="18"/>
              </w:rPr>
            </w:pPr>
            <w:r>
              <w:rPr>
                <w:rFonts w:hint="eastAsia" w:ascii="MS Gothic" w:hAnsi="MS Gothic" w:eastAsia="MS Gothic"/>
              </w:rPr>
              <w:t>☐</w:t>
            </w:r>
            <w:r>
              <w:rPr>
                <w:rFonts w:hint="eastAsia"/>
                <w:bCs/>
                <w:lang w:val="zh-CN"/>
              </w:rPr>
              <w:t>是</w:t>
            </w:r>
            <w:r>
              <w:rPr>
                <w:rFonts w:hint="eastAsia" w:ascii="MS Gothic" w:hAnsi="MS Gothic" w:eastAsia="MS Gothic"/>
              </w:rPr>
              <w:t>☐</w:t>
            </w:r>
            <w:r>
              <w:rPr>
                <w:rFonts w:hint="eastAsia"/>
                <w:bCs/>
                <w:lang w:val="zh-CN"/>
              </w:rPr>
              <w:t>否</w:t>
            </w:r>
          </w:p>
        </w:tc>
      </w:tr>
      <w:tr>
        <w:tblPrEx>
          <w:tblLayout w:type="fixed"/>
          <w:tblCellMar>
            <w:top w:w="0" w:type="dxa"/>
            <w:left w:w="108" w:type="dxa"/>
            <w:bottom w:w="0" w:type="dxa"/>
            <w:right w:w="108" w:type="dxa"/>
          </w:tblCellMar>
        </w:tblPrEx>
        <w:trPr>
          <w:cantSplit/>
          <w:jc w:val="center"/>
        </w:trPr>
        <w:tc>
          <w:tcPr>
            <w:tcW w:w="1382" w:type="dxa"/>
            <w:tcBorders>
              <w:top w:val="nil"/>
              <w:left w:val="single" w:color="auto" w:sz="4" w:space="0"/>
              <w:bottom w:val="single" w:color="auto" w:sz="4" w:space="0"/>
              <w:right w:val="single" w:color="auto" w:sz="4" w:space="0"/>
            </w:tcBorders>
            <w:noWrap w:val="0"/>
            <w:vAlign w:val="top"/>
          </w:tcPr>
          <w:p>
            <w:pPr>
              <w:pStyle w:val="5"/>
            </w:pPr>
          </w:p>
        </w:tc>
        <w:tc>
          <w:tcPr>
            <w:tcW w:w="1420" w:type="dxa"/>
            <w:tcBorders>
              <w:top w:val="nil"/>
              <w:left w:val="nil"/>
              <w:bottom w:val="single" w:color="auto" w:sz="4" w:space="0"/>
              <w:right w:val="single" w:color="auto" w:sz="4" w:space="0"/>
            </w:tcBorders>
            <w:noWrap w:val="0"/>
            <w:vAlign w:val="top"/>
          </w:tcPr>
          <w:p>
            <w:pPr>
              <w:pStyle w:val="5"/>
            </w:pPr>
          </w:p>
        </w:tc>
        <w:tc>
          <w:tcPr>
            <w:tcW w:w="3402" w:type="dxa"/>
            <w:tcBorders>
              <w:top w:val="nil"/>
              <w:left w:val="nil"/>
              <w:bottom w:val="single" w:color="auto" w:sz="4" w:space="0"/>
              <w:right w:val="single" w:color="auto" w:sz="4" w:space="0"/>
            </w:tcBorders>
            <w:noWrap w:val="0"/>
            <w:vAlign w:val="top"/>
          </w:tcPr>
          <w:p>
            <w:pPr>
              <w:pStyle w:val="5"/>
            </w:pPr>
          </w:p>
        </w:tc>
        <w:tc>
          <w:tcPr>
            <w:tcW w:w="2318" w:type="dxa"/>
            <w:tcBorders>
              <w:top w:val="nil"/>
              <w:left w:val="nil"/>
              <w:bottom w:val="single" w:color="auto" w:sz="4" w:space="0"/>
              <w:right w:val="single" w:color="auto" w:sz="4" w:space="0"/>
            </w:tcBorders>
            <w:noWrap w:val="0"/>
            <w:vAlign w:val="top"/>
          </w:tcPr>
          <w:p>
            <w:pPr>
              <w:pStyle w:val="5"/>
              <w:rPr>
                <w:kern w:val="0"/>
                <w:szCs w:val="18"/>
              </w:rPr>
            </w:pPr>
            <w:r>
              <w:rPr>
                <w:rFonts w:hint="eastAsia" w:ascii="MS Gothic" w:hAnsi="MS Gothic" w:eastAsia="MS Gothic"/>
              </w:rPr>
              <w:t>☐</w:t>
            </w:r>
            <w:r>
              <w:rPr>
                <w:rFonts w:hint="eastAsia"/>
                <w:bCs/>
                <w:lang w:val="zh-CN"/>
              </w:rPr>
              <w:t>是</w:t>
            </w:r>
            <w:r>
              <w:rPr>
                <w:rFonts w:hint="eastAsia" w:ascii="MS Gothic" w:hAnsi="MS Gothic" w:eastAsia="MS Gothic"/>
              </w:rPr>
              <w:t>☐</w:t>
            </w:r>
            <w:r>
              <w:rPr>
                <w:rFonts w:hint="eastAsia"/>
                <w:bCs/>
                <w:lang w:val="zh-CN"/>
              </w:rPr>
              <w:t>否</w:t>
            </w:r>
          </w:p>
        </w:tc>
      </w:tr>
      <w:tr>
        <w:tblPrEx>
          <w:tblLayout w:type="fixed"/>
          <w:tblCellMar>
            <w:top w:w="0" w:type="dxa"/>
            <w:left w:w="108" w:type="dxa"/>
            <w:bottom w:w="0" w:type="dxa"/>
            <w:right w:w="108" w:type="dxa"/>
          </w:tblCellMar>
        </w:tblPrEx>
        <w:trPr>
          <w:cantSplit/>
          <w:jc w:val="center"/>
        </w:trPr>
        <w:tc>
          <w:tcPr>
            <w:tcW w:w="1382" w:type="dxa"/>
            <w:tcBorders>
              <w:top w:val="nil"/>
              <w:left w:val="single" w:color="auto" w:sz="4" w:space="0"/>
              <w:bottom w:val="single" w:color="auto" w:sz="4" w:space="0"/>
              <w:right w:val="single" w:color="auto" w:sz="4" w:space="0"/>
            </w:tcBorders>
            <w:noWrap w:val="0"/>
            <w:vAlign w:val="top"/>
          </w:tcPr>
          <w:p>
            <w:pPr>
              <w:pStyle w:val="5"/>
            </w:pPr>
          </w:p>
        </w:tc>
        <w:tc>
          <w:tcPr>
            <w:tcW w:w="1420" w:type="dxa"/>
            <w:tcBorders>
              <w:top w:val="nil"/>
              <w:left w:val="nil"/>
              <w:bottom w:val="single" w:color="auto" w:sz="4" w:space="0"/>
              <w:right w:val="single" w:color="auto" w:sz="4" w:space="0"/>
            </w:tcBorders>
            <w:noWrap w:val="0"/>
            <w:vAlign w:val="top"/>
          </w:tcPr>
          <w:p>
            <w:pPr>
              <w:pStyle w:val="5"/>
            </w:pPr>
          </w:p>
        </w:tc>
        <w:tc>
          <w:tcPr>
            <w:tcW w:w="3402" w:type="dxa"/>
            <w:tcBorders>
              <w:top w:val="nil"/>
              <w:left w:val="nil"/>
              <w:bottom w:val="single" w:color="auto" w:sz="4" w:space="0"/>
              <w:right w:val="single" w:color="auto" w:sz="4" w:space="0"/>
            </w:tcBorders>
            <w:noWrap w:val="0"/>
            <w:vAlign w:val="top"/>
          </w:tcPr>
          <w:p>
            <w:pPr>
              <w:pStyle w:val="5"/>
            </w:pPr>
          </w:p>
        </w:tc>
        <w:tc>
          <w:tcPr>
            <w:tcW w:w="2318" w:type="dxa"/>
            <w:tcBorders>
              <w:top w:val="nil"/>
              <w:left w:val="nil"/>
              <w:bottom w:val="single" w:color="auto" w:sz="4" w:space="0"/>
              <w:right w:val="single" w:color="auto" w:sz="4" w:space="0"/>
            </w:tcBorders>
            <w:noWrap w:val="0"/>
            <w:vAlign w:val="top"/>
          </w:tcPr>
          <w:p>
            <w:pPr>
              <w:pStyle w:val="5"/>
              <w:rPr>
                <w:kern w:val="0"/>
                <w:szCs w:val="18"/>
              </w:rPr>
            </w:pPr>
            <w:r>
              <w:rPr>
                <w:rFonts w:hint="eastAsia" w:ascii="MS Gothic" w:hAnsi="MS Gothic" w:eastAsia="MS Gothic"/>
              </w:rPr>
              <w:t>☐</w:t>
            </w:r>
            <w:r>
              <w:rPr>
                <w:rFonts w:hint="eastAsia"/>
                <w:bCs/>
                <w:lang w:val="zh-CN"/>
              </w:rPr>
              <w:t>是</w:t>
            </w:r>
            <w:r>
              <w:rPr>
                <w:rFonts w:hint="eastAsia" w:ascii="MS Gothic" w:hAnsi="MS Gothic" w:eastAsia="MS Gothic"/>
              </w:rPr>
              <w:t>☐</w:t>
            </w:r>
            <w:r>
              <w:rPr>
                <w:rFonts w:hint="eastAsia"/>
                <w:bCs/>
                <w:lang w:val="zh-CN"/>
              </w:rPr>
              <w:t>否</w:t>
            </w:r>
          </w:p>
        </w:tc>
      </w:tr>
    </w:tbl>
    <w:p>
      <w:pPr>
        <w:pStyle w:val="4"/>
        <w:spacing w:line="288" w:lineRule="auto"/>
        <w:ind w:firstLine="420"/>
        <w:outlineLvl w:val="9"/>
        <w:rPr>
          <w:sz w:val="21"/>
          <w:szCs w:val="21"/>
        </w:rPr>
      </w:pPr>
      <w:bookmarkStart w:id="2" w:name="_Toc435604675"/>
    </w:p>
    <w:p>
      <w:pPr>
        <w:pStyle w:val="4"/>
        <w:spacing w:line="288" w:lineRule="auto"/>
        <w:ind w:firstLine="422"/>
        <w:outlineLvl w:val="9"/>
        <w:rPr>
          <w:b/>
          <w:sz w:val="21"/>
          <w:szCs w:val="21"/>
        </w:rPr>
      </w:pPr>
      <w:r>
        <w:rPr>
          <w:b/>
          <w:sz w:val="21"/>
          <w:szCs w:val="21"/>
        </w:rPr>
        <w:t xml:space="preserve">3) </w:t>
      </w:r>
      <w:r>
        <w:rPr>
          <w:rFonts w:hint="eastAsia"/>
          <w:b/>
          <w:sz w:val="21"/>
          <w:szCs w:val="21"/>
        </w:rPr>
        <w:t>证明材料</w:t>
      </w:r>
      <w:bookmarkEnd w:id="2"/>
    </w:p>
    <w:p>
      <w:pPr>
        <w:ind w:firstLine="420"/>
      </w:pPr>
      <w:bookmarkStart w:id="3" w:name="_Toc435604676"/>
      <w:r>
        <w:rPr>
          <w:rFonts w:hint="eastAsia"/>
        </w:rPr>
        <w:t>提交材料及要求：</w:t>
      </w:r>
      <w:bookmarkEnd w:id="3"/>
    </w:p>
    <w:p>
      <w:pPr>
        <w:ind w:firstLine="420"/>
      </w:pPr>
      <w:bookmarkStart w:id="4" w:name="_Toc435604677"/>
      <w:r>
        <w:t>1</w:t>
      </w:r>
      <w:r>
        <w:rPr>
          <w:rFonts w:hint="eastAsia"/>
        </w:rPr>
        <w:t>.暖通施工图：应有通风空调系统风机的详细参数，设备清单；</w:t>
      </w:r>
      <w:bookmarkEnd w:id="4"/>
    </w:p>
    <w:p>
      <w:pPr>
        <w:ind w:firstLine="420"/>
      </w:pPr>
      <w:bookmarkStart w:id="5" w:name="_Toc435604678"/>
      <w:r>
        <w:t>2</w:t>
      </w:r>
      <w:r>
        <w:rPr>
          <w:rFonts w:hint="eastAsia"/>
        </w:rPr>
        <w:t>.暖通施工图设计说明：应有风机的单位风量耗功率、空调冷热水系统的耗电输冷（热）比、集中供暖系统热水循环泵的耗电输热比的计算说明，若设计说明中缺少相关数据，则须提供相应计算书。</w:t>
      </w:r>
      <w:bookmarkEnd w:id="5"/>
    </w:p>
    <w:p>
      <w:pPr>
        <w:ind w:firstLine="420"/>
      </w:pPr>
      <w:bookmarkStart w:id="6" w:name="_Toc435604679"/>
      <w:r>
        <w:rPr>
          <w:rFonts w:hint="eastAsia"/>
        </w:rPr>
        <w:t>实际提交材料：</w:t>
      </w:r>
      <w:bookmarkEnd w:id="6"/>
    </w:p>
    <w:tbl>
      <w:tblPr>
        <w:tblStyle w:val="2"/>
        <w:tblW w:w="83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4" w:type="dxa"/>
            <w:noWrap w:val="0"/>
            <w:vAlign w:val="top"/>
          </w:tcPr>
          <w:p>
            <w:pPr>
              <w:snapToGrid w:val="0"/>
              <w:spacing w:line="288" w:lineRule="auto"/>
              <w:ind w:firstLine="420"/>
            </w:pPr>
          </w:p>
          <w:p>
            <w:pPr>
              <w:snapToGrid w:val="0"/>
              <w:spacing w:line="288" w:lineRule="auto"/>
              <w:ind w:firstLine="420"/>
            </w:pPr>
          </w:p>
          <w:p>
            <w:pPr>
              <w:snapToGrid w:val="0"/>
              <w:spacing w:line="288" w:lineRule="auto"/>
              <w:ind w:firstLine="420"/>
            </w:pPr>
          </w:p>
          <w:p>
            <w:pPr>
              <w:snapToGrid w:val="0"/>
              <w:spacing w:line="288" w:lineRule="auto"/>
              <w:ind w:firstLine="420"/>
              <w:rPr>
                <w:rFonts w:eastAsia="仿宋_GB2312"/>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Gothic">
    <w:panose1 w:val="020B0609070205080204"/>
    <w:charset w:val="80"/>
    <w:family w:val="modern"/>
    <w:pitch w:val="default"/>
    <w:sig w:usb0="E00002FF" w:usb1="6AC7FDFB" w:usb2="00000012" w:usb3="00000000" w:csb0="4002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060AEB"/>
    <w:rsid w:val="21060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条文"/>
    <w:basedOn w:val="1"/>
    <w:qFormat/>
    <w:uiPriority w:val="0"/>
    <w:pPr>
      <w:spacing w:line="300" w:lineRule="auto"/>
      <w:outlineLvl w:val="2"/>
    </w:pPr>
    <w:rPr>
      <w:sz w:val="24"/>
      <w:szCs w:val="24"/>
    </w:rPr>
  </w:style>
  <w:style w:type="paragraph" w:customStyle="1" w:styleId="5">
    <w:name w:val="表格"/>
    <w:basedOn w:val="1"/>
    <w:qFormat/>
    <w:uiPriority w:val="0"/>
    <w:pPr>
      <w:jc w:val="center"/>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2019-09-02T00:56:00Z</dcterms:created>
  <dc:creator>小情绪丶</dc:creator>
  <cp:lastModifiedBy>小情绪丶</cp:lastModifiedBy>
  <dcterms:modified xsi:type="dcterms:W3CDTF">2019-09-02T00:56:54Z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