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  <w:rPr>
          <w:szCs w:val="21"/>
        </w:rPr>
      </w:pPr>
      <w:bookmarkStart w:id="1" w:name="_GoBack"/>
      <w:r>
        <w:t>7.1.2</w:t>
      </w:r>
      <w:bookmarkEnd w:id="1"/>
      <w:r>
        <w:t xml:space="preserve"> </w:t>
      </w:r>
      <w:r>
        <w:rPr>
          <w:rFonts w:hint="eastAsia"/>
        </w:rPr>
        <w:t>混凝土结构中梁、柱纵向受力普通钢筋应采用不低于</w:t>
      </w:r>
      <w:r>
        <w:t xml:space="preserve">400MPa </w:t>
      </w:r>
      <w:r>
        <w:rPr>
          <w:rFonts w:hint="eastAsia"/>
        </w:rPr>
        <w:t>级的热轧带肋钢筋。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  <w:rPr>
          <w:b/>
        </w:rPr>
      </w:pPr>
      <w:r>
        <w:rPr>
          <w:b/>
          <w:bCs/>
        </w:rPr>
        <w:t xml:space="preserve">1) </w:t>
      </w:r>
      <w:r>
        <w:rPr>
          <w:rFonts w:hint="eastAsia"/>
          <w:b/>
        </w:rPr>
        <w:t>达标自评</w:t>
      </w:r>
    </w:p>
    <w:p>
      <w:pPr>
        <w:ind w:firstLine="420"/>
        <w:rPr>
          <w:rFonts w:ascii="宋体" w:hAnsi="宋体"/>
        </w:rPr>
      </w:pP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/>
        </w:rPr>
        <w:t>达标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/>
        </w:rPr>
        <w:t>不达标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/>
        </w:rPr>
        <w:t>不参评（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/>
        </w:rPr>
        <w:t>钢结构、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/>
        </w:rPr>
        <w:t>砌体结构、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/>
        </w:rPr>
        <w:t>木结构、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/>
        </w:rPr>
        <w:t>其他非混凝土结构）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</w:pPr>
      <w:r>
        <w:rPr>
          <w:rFonts w:hint="eastAsia"/>
        </w:rPr>
        <w:t>混凝土梁纵向受力普通钢筋全部采用不低于400MPa级的热轧带肋钢筋：</w:t>
      </w:r>
      <w:r>
        <w:rPr>
          <w:rFonts w:hint="eastAsia" w:ascii="MS Gothic" w:hAnsi="MS Gothic" w:eastAsia="MS Gothic"/>
        </w:rPr>
        <w:t>☐</w:t>
      </w:r>
      <w:r>
        <w:rPr>
          <w:rFonts w:hint="eastAsia" w:cs="仿宋_GB2312"/>
        </w:rPr>
        <w:t>是</w:t>
      </w:r>
      <w:r>
        <w:rPr>
          <w:rFonts w:hint="eastAsia" w:ascii="MS Gothic" w:hAnsi="MS Gothic" w:eastAsia="MS Gothic"/>
        </w:rPr>
        <w:t>☐</w:t>
      </w:r>
      <w:r>
        <w:rPr>
          <w:rFonts w:hint="eastAsia" w:cs="仿宋_GB2312"/>
        </w:rPr>
        <w:t>否</w:t>
      </w:r>
    </w:p>
    <w:p>
      <w:pPr>
        <w:ind w:firstLine="420"/>
      </w:pPr>
      <w:r>
        <w:rPr>
          <w:rFonts w:hint="eastAsia"/>
        </w:rPr>
        <w:t>混凝土柱纵向受力普通钢筋全部采用不低于400MPa级的热轧带肋钢筋：</w:t>
      </w:r>
      <w:r>
        <w:rPr>
          <w:rFonts w:hint="eastAsia" w:ascii="MS Gothic" w:hAnsi="MS Gothic" w:eastAsia="MS Gothic"/>
        </w:rPr>
        <w:t>☐</w:t>
      </w:r>
      <w:r>
        <w:rPr>
          <w:rFonts w:hint="eastAsia" w:cs="仿宋_GB2312"/>
        </w:rPr>
        <w:t>是</w:t>
      </w:r>
      <w:r>
        <w:rPr>
          <w:rFonts w:hint="eastAsia" w:ascii="MS Gothic" w:hAnsi="MS Gothic" w:eastAsia="MS Gothic"/>
        </w:rPr>
        <w:t>☐</w:t>
      </w:r>
      <w:r>
        <w:rPr>
          <w:rFonts w:hint="eastAsia" w:cs="仿宋_GB2312"/>
        </w:rPr>
        <w:t>否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  <w:rPr>
          <w:rFonts w:ascii="宋体" w:hAnsi="宋体"/>
        </w:rPr>
      </w:pPr>
      <w:bookmarkStart w:id="0" w:name="_Toc435604756"/>
      <w:r>
        <w:rPr>
          <w:rFonts w:hint="eastAsia" w:ascii="宋体" w:hAnsi="宋体"/>
        </w:rPr>
        <w:t>1.结构专业图纸及设计说明：应说明混凝土梁、柱纵向受力普通钢筋的材料强度等级，混凝土梁、柱配筋图应体现钢筋的材料选用；</w:t>
      </w:r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</w:rPr>
        <w:t>2.建筑工程造价预算表：应说明所选用钢筋的型号规格。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35E73"/>
    <w:rsid w:val="0B83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2019-09-02T01:14:00Z</dcterms:created>
  <dc:creator>小情绪丶</dc:creator>
  <cp:lastModifiedBy>小情绪丶</cp:lastModifiedBy>
  <dcterms:modified xsi:type="dcterms:W3CDTF">2019-09-02T01:14:37Z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