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>7.2.</w:t>
      </w:r>
      <w:r>
        <w:rPr>
          <w:rFonts w:hint="eastAsia"/>
        </w:rPr>
        <w:t>11建筑砂浆采用预拌砂浆。（总分</w:t>
      </w:r>
      <w:r>
        <w:t xml:space="preserve">5 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ind w:firstLine="422"/>
        <w:jc w:val="left"/>
        <w:rPr>
          <w:rFonts w:hint="eastAsia"/>
          <w:b/>
        </w:rPr>
      </w:pP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bookmarkStart w:id="0" w:name="_Toc435604791"/>
            <w:r>
              <w:t>建筑砂浆采用预拌砂浆的比例达到50%；</w:t>
            </w:r>
            <w:bookmarkEnd w:id="0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1" w:name="_Toc435604792"/>
            <w:r>
              <w:t>建筑砂浆采用预拌砂浆的比例达到100%。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距施工现场5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eastAsia"/>
              </w:rPr>
              <w:t>Km范围内没</w:t>
            </w:r>
            <w:r>
              <w:rPr>
                <w:rFonts w:hint="eastAsia"/>
                <w:lang w:eastAsia="zh-CN"/>
              </w:rPr>
              <w:t>有干混砂浆供应且</w:t>
            </w:r>
            <w:r>
              <w:rPr>
                <w:rFonts w:hint="eastAsia"/>
              </w:rPr>
              <w:t>距施工现场5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Km范围内没有预拌砂浆供应</w:t>
            </w:r>
            <w:r>
              <w:rPr>
                <w:rFonts w:hint="eastAsia"/>
                <w:lang w:eastAsia="zh-CN"/>
              </w:rPr>
              <w:t>。</w:t>
            </w:r>
            <w:bookmarkStart w:id="3" w:name="_GoBack"/>
            <w:bookmarkEnd w:id="3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szCs w:val="21"/>
              </w:rPr>
              <w:t>不参评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2" w:firstLineChars="200"/>
        <w:jc w:val="left"/>
        <w:rPr>
          <w:b/>
          <w:bCs/>
        </w:rPr>
      </w:pPr>
    </w:p>
    <w:p>
      <w:pPr>
        <w:widowControl/>
        <w:ind w:firstLine="422" w:firstLineChars="200"/>
        <w:jc w:val="left"/>
      </w:pPr>
      <w:r>
        <w:rPr>
          <w:b/>
          <w:bCs/>
        </w:rPr>
        <w:t>2</w:t>
      </w:r>
      <w:r>
        <w:rPr>
          <w:rFonts w:hint="eastAsia"/>
          <w:b/>
        </w:rPr>
        <w:t>）评价要点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val="zh-CN"/>
        </w:rPr>
        <w:t>建筑砂浆采用预拌砂浆：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lang w:val="zh-CN"/>
        </w:rPr>
        <w:t>是（采用比例%）、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  <w:lang w:val="zh-CN"/>
        </w:rPr>
        <w:t>否</w:t>
      </w:r>
    </w:p>
    <w:p>
      <w:pPr>
        <w:widowControl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3</w:t>
      </w:r>
      <w:r>
        <w:rPr>
          <w:rFonts w:hint="eastAsia"/>
          <w:b/>
        </w:rPr>
        <w:t>）证明材料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t>1</w:t>
      </w:r>
      <w:r>
        <w:rPr>
          <w:rFonts w:hint="eastAsia"/>
        </w:rPr>
        <w:t>.建筑专业施工图及设计说明：需明确预拌砂浆使用的部位、用途。是否符合现行标准《预拌砂浆》</w:t>
      </w:r>
      <w:r>
        <w:t xml:space="preserve">GB/T 2181 </w:t>
      </w:r>
      <w:r>
        <w:rPr>
          <w:rFonts w:hint="eastAsia"/>
        </w:rPr>
        <w:t>及《预拌砂浆应用技术规程》</w:t>
      </w:r>
      <w:r>
        <w:t xml:space="preserve">JGJ/T 223 </w:t>
      </w:r>
      <w:r>
        <w:rPr>
          <w:rFonts w:hint="eastAsia"/>
        </w:rPr>
        <w:t>的规定。</w:t>
      </w:r>
      <w:r>
        <w:rPr>
          <w:rFonts w:hint="eastAsia"/>
          <w:lang w:eastAsia="zh-CN"/>
        </w:rPr>
        <w:t>（仅公共建筑申报需提供）</w:t>
      </w:r>
    </w:p>
    <w:p>
      <w:pPr>
        <w:ind w:firstLine="420"/>
      </w:pPr>
      <w:r>
        <w:t>2</w:t>
      </w:r>
      <w:r>
        <w:rPr>
          <w:rFonts w:hint="eastAsia"/>
        </w:rPr>
        <w:t>.预拌砂浆用量占建筑砂浆用量比例的计算书。</w:t>
      </w:r>
    </w:p>
    <w:p>
      <w:pPr>
        <w:ind w:firstLine="420"/>
      </w:pPr>
      <w:bookmarkStart w:id="2" w:name="_Toc435604793"/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CC3D71"/>
    <w:multiLevelType w:val="singleLevel"/>
    <w:tmpl w:val="B4CC3D71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A6C19"/>
    <w:rsid w:val="21C551F8"/>
    <w:rsid w:val="48AA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2019-09-02T01:25:00Z</dcterms:created>
  <dc:creator>小情绪丶</dc:creator>
  <cp:lastModifiedBy>小情绪丶</cp:lastModifiedBy>
  <dcterms:modified xsi:type="dcterms:W3CDTF">2019-09-04T08:05:45Z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