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pPr>
      <w:bookmarkStart w:id="1" w:name="_GoBack"/>
      <w:r>
        <w:t>7.2.1</w:t>
      </w:r>
      <w:r>
        <w:rPr>
          <w:rFonts w:hint="eastAsia"/>
        </w:rPr>
        <w:t>2</w:t>
      </w:r>
      <w:bookmarkEnd w:id="1"/>
      <w:r>
        <w:rPr>
          <w:rFonts w:hint="eastAsia"/>
        </w:rPr>
        <w:t>合理采用高强建筑结构材料。（总分</w:t>
      </w:r>
      <w:r>
        <w:t xml:space="preserve">10 </w:t>
      </w:r>
      <w:r>
        <w:rPr>
          <w:rFonts w:hint="eastAsia"/>
        </w:rPr>
        <w:t>分）</w:t>
      </w:r>
    </w:p>
    <w:p>
      <w:pPr>
        <w:widowControl/>
        <w:ind w:firstLine="422"/>
        <w:jc w:val="left"/>
        <w:rPr>
          <w:b/>
          <w:bCs/>
        </w:rPr>
      </w:pPr>
    </w:p>
    <w:p>
      <w:pPr>
        <w:widowControl/>
        <w:ind w:firstLine="422"/>
        <w:jc w:val="left"/>
      </w:pPr>
      <w:r>
        <w:rPr>
          <w:b/>
          <w:bCs/>
        </w:rPr>
        <w:t>1</w:t>
      </w:r>
      <w:r>
        <w:rPr>
          <w:rFonts w:hint="eastAsia"/>
          <w:b/>
        </w:rPr>
        <w:t>）得分自评</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3451"/>
        <w:gridCol w:w="2158"/>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类型</w:t>
            </w:r>
          </w:p>
        </w:tc>
        <w:tc>
          <w:tcPr>
            <w:tcW w:w="5609" w:type="dxa"/>
            <w:gridSpan w:val="2"/>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评价内容</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评价</w:t>
            </w:r>
          </w:p>
          <w:p>
            <w:pPr>
              <w:pStyle w:val="5"/>
              <w:rPr>
                <w:lang w:val="zh-CN"/>
              </w:rPr>
            </w:pPr>
            <w:r>
              <w:rPr>
                <w:rFonts w:hint="eastAsia"/>
                <w:lang w:val="zh-CN"/>
              </w:rPr>
              <w:t>分值（分）</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自评</w:t>
            </w:r>
          </w:p>
          <w:p>
            <w:pPr>
              <w:pStyle w:val="5"/>
              <w:rPr>
                <w:lang w:val="zh-CN"/>
              </w:rPr>
            </w:pPr>
            <w:r>
              <w:rPr>
                <w:rFonts w:hint="eastAsia"/>
                <w:lang w:val="zh-CN"/>
              </w:rPr>
              <w:t>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ascii="MS Gothic" w:hAnsi="MS Gothic" w:eastAsia="MS Gothic"/>
              </w:rPr>
              <w:t>☐</w:t>
            </w:r>
          </w:p>
          <w:p>
            <w:pPr>
              <w:pStyle w:val="5"/>
              <w:rPr>
                <w:lang w:val="zh-CN"/>
              </w:rPr>
            </w:pPr>
            <w:r>
              <w:rPr>
                <w:rFonts w:hint="eastAsia"/>
                <w:lang w:val="zh-CN"/>
              </w:rPr>
              <w:t>混凝土</w:t>
            </w:r>
          </w:p>
          <w:p>
            <w:pPr>
              <w:pStyle w:val="5"/>
            </w:pPr>
            <w:r>
              <w:rPr>
                <w:rFonts w:hint="eastAsia"/>
                <w:lang w:val="zh-CN"/>
              </w:rPr>
              <w:t>结构</w:t>
            </w:r>
          </w:p>
        </w:tc>
        <w:tc>
          <w:tcPr>
            <w:tcW w:w="3451"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rPr>
              <w:t>400MPa级及以上受力普通钢筋的的比例</w:t>
            </w:r>
            <w:r>
              <w:rPr>
                <w:rFonts w:hint="eastAsia"/>
                <w:i/>
              </w:rPr>
              <w:t>R</w:t>
            </w:r>
            <w:r>
              <w:rPr>
                <w:rFonts w:hint="eastAsia"/>
                <w:vertAlign w:val="subscript"/>
              </w:rPr>
              <w:t>sb</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30%≤</w:t>
            </w:r>
            <w:r>
              <w:rPr>
                <w:rFonts w:hint="eastAsia"/>
                <w:i/>
              </w:rPr>
              <w:t>R</w:t>
            </w:r>
            <w:r>
              <w:rPr>
                <w:rFonts w:hint="eastAsia"/>
                <w:vertAlign w:val="subscript"/>
              </w:rPr>
              <w:t>sb</w:t>
            </w:r>
            <w:r>
              <w:rPr>
                <w:rFonts w:hint="eastAsia"/>
              </w:rPr>
              <w:t>＜50%</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4</w:t>
            </w:r>
          </w:p>
        </w:tc>
        <w:tc>
          <w:tcPr>
            <w:tcW w:w="1002"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c>
          <w:tcPr>
            <w:tcW w:w="345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50%≤</w:t>
            </w:r>
            <w:r>
              <w:rPr>
                <w:rFonts w:hint="eastAsia"/>
                <w:i/>
              </w:rPr>
              <w:t>R</w:t>
            </w:r>
            <w:r>
              <w:rPr>
                <w:rFonts w:hint="eastAsia"/>
                <w:vertAlign w:val="subscript"/>
              </w:rPr>
              <w:t>sb</w:t>
            </w:r>
            <w:r>
              <w:rPr>
                <w:rFonts w:hint="eastAsia"/>
              </w:rPr>
              <w:t>＜70%</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6</w:t>
            </w: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c>
          <w:tcPr>
            <w:tcW w:w="345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70%≤</w:t>
            </w:r>
            <w:r>
              <w:rPr>
                <w:rFonts w:hint="eastAsia"/>
                <w:i/>
              </w:rPr>
              <w:t>R</w:t>
            </w:r>
            <w:r>
              <w:rPr>
                <w:rFonts w:hint="eastAsia"/>
                <w:vertAlign w:val="subscript"/>
              </w:rPr>
              <w:t>sb</w:t>
            </w:r>
            <w:r>
              <w:rPr>
                <w:rFonts w:hint="eastAsia"/>
              </w:rPr>
              <w:t>＜85%</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8</w:t>
            </w: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c>
          <w:tcPr>
            <w:tcW w:w="345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p>
        </w:tc>
        <w:tc>
          <w:tcPr>
            <w:tcW w:w="2158"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i/>
              </w:rPr>
              <w:t>R</w:t>
            </w:r>
            <w:r>
              <w:rPr>
                <w:rFonts w:hint="eastAsia"/>
                <w:vertAlign w:val="subscript"/>
              </w:rPr>
              <w:t>sb</w:t>
            </w:r>
            <w:r>
              <w:rPr>
                <w:rFonts w:hint="eastAsia"/>
              </w:rPr>
              <w:t>≥85%</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10</w:t>
            </w: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c>
          <w:tcPr>
            <w:tcW w:w="3451"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rPr>
              <w:t>混凝土竖向承重结构采用强度等级不小于C50混凝土用量占竖向承重结构中混凝土总量的比例</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rPr>
              <w:t>50%</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10</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ascii="MS Gothic" w:hAnsi="MS Gothic" w:eastAsia="MS Gothic"/>
              </w:rPr>
              <w:t>☐</w:t>
            </w:r>
          </w:p>
          <w:p>
            <w:pPr>
              <w:pStyle w:val="5"/>
              <w:rPr>
                <w:lang w:val="zh-CN"/>
              </w:rPr>
            </w:pPr>
            <w:r>
              <w:rPr>
                <w:rFonts w:hint="eastAsia"/>
                <w:lang w:val="zh-CN"/>
              </w:rPr>
              <w:t>钢结构</w:t>
            </w:r>
          </w:p>
        </w:tc>
        <w:tc>
          <w:tcPr>
            <w:tcW w:w="5609" w:type="dxa"/>
            <w:gridSpan w:val="2"/>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Q345及以上高强度钢材用量占钢材总量的比例达到50%</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8</w:t>
            </w:r>
          </w:p>
        </w:tc>
        <w:tc>
          <w:tcPr>
            <w:tcW w:w="1002"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p>
        </w:tc>
        <w:tc>
          <w:tcPr>
            <w:tcW w:w="5609" w:type="dxa"/>
            <w:gridSpan w:val="2"/>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Q345及以上高强度钢材用量占钢材总量的比例达到70%</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10</w:t>
            </w: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ascii="MS Gothic" w:hAnsi="MS Gothic" w:eastAsia="MS Gothic"/>
              </w:rPr>
              <w:t>☐</w:t>
            </w:r>
            <w:r>
              <w:rPr>
                <w:rFonts w:hint="eastAsia"/>
                <w:lang w:val="zh-CN"/>
              </w:rPr>
              <w:t>混合</w:t>
            </w:r>
          </w:p>
          <w:p>
            <w:pPr>
              <w:pStyle w:val="5"/>
              <w:rPr>
                <w:lang w:val="zh-CN"/>
              </w:rPr>
            </w:pPr>
            <w:r>
              <w:rPr>
                <w:rFonts w:hint="eastAsia"/>
                <w:lang w:val="zh-CN"/>
              </w:rPr>
              <w:t>结构</w:t>
            </w:r>
          </w:p>
        </w:tc>
        <w:tc>
          <w:tcPr>
            <w:tcW w:w="5609" w:type="dxa"/>
            <w:gridSpan w:val="2"/>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混凝土结构部分，参照第1款要求</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10</w:t>
            </w:r>
          </w:p>
        </w:tc>
        <w:tc>
          <w:tcPr>
            <w:tcW w:w="1002"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9"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p>
        </w:tc>
        <w:tc>
          <w:tcPr>
            <w:tcW w:w="5609" w:type="dxa"/>
            <w:gridSpan w:val="2"/>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钢结构部分，参照第2款要求</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10</w:t>
            </w: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ascii="MS Gothic" w:hAnsi="MS Gothic" w:eastAsia="MS Gothic"/>
              </w:rPr>
              <w:t>☐</w:t>
            </w:r>
            <w:r>
              <w:rPr>
                <w:rFonts w:hint="eastAsia"/>
                <w:lang w:val="zh-CN"/>
              </w:rPr>
              <w:t>其他</w:t>
            </w:r>
          </w:p>
        </w:tc>
        <w:tc>
          <w:tcPr>
            <w:tcW w:w="5609" w:type="dxa"/>
            <w:gridSpan w:val="2"/>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ascii="MS Gothic" w:hAnsi="MS Gothic" w:eastAsia="MS Gothic"/>
              </w:rPr>
              <w:t>☐</w:t>
            </w:r>
            <w:r>
              <w:rPr>
                <w:rFonts w:hint="eastAsia"/>
              </w:rPr>
              <w:t>砌体结构、</w:t>
            </w:r>
            <w:r>
              <w:rPr>
                <w:rFonts w:hint="eastAsia" w:ascii="MS Gothic" w:hAnsi="MS Gothic" w:eastAsia="MS Gothic"/>
              </w:rPr>
              <w:t>☐</w:t>
            </w:r>
            <w:r>
              <w:rPr>
                <w:rFonts w:hint="eastAsia"/>
              </w:rPr>
              <w:t>木结构</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不参评</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518" w:type="dxa"/>
            <w:gridSpan w:val="3"/>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合计</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lang w:val="zh-CN"/>
              </w:rPr>
            </w:pPr>
            <w:r>
              <w:rPr>
                <w:rFonts w:hint="eastAsia"/>
                <w:lang w:val="zh-CN"/>
              </w:rPr>
              <w:t>10</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bl>
    <w:p>
      <w:pPr>
        <w:widowControl/>
        <w:ind w:firstLine="420"/>
        <w:jc w:val="left"/>
      </w:pPr>
    </w:p>
    <w:p>
      <w:pPr>
        <w:widowControl/>
        <w:ind w:firstLine="422"/>
        <w:jc w:val="left"/>
        <w:rPr>
          <w:b/>
        </w:rPr>
      </w:pPr>
      <w:r>
        <w:rPr>
          <w:b/>
          <w:bCs/>
        </w:rPr>
        <w:t>2</w:t>
      </w:r>
      <w:r>
        <w:rPr>
          <w:rFonts w:hint="eastAsia"/>
          <w:b/>
        </w:rPr>
        <w:t>）评价要点</w:t>
      </w:r>
    </w:p>
    <w:p>
      <w:pPr>
        <w:widowControl/>
        <w:ind w:firstLine="420"/>
        <w:jc w:val="left"/>
      </w:pPr>
      <w:r>
        <w:t>1</w:t>
      </w:r>
      <w:r>
        <w:rPr>
          <w:rFonts w:hint="eastAsia"/>
        </w:rPr>
        <w:t>、混凝土结构建筑的主体结构</w:t>
      </w:r>
      <w:r>
        <w:t>400Mpa</w:t>
      </w:r>
      <w:r>
        <w:rPr>
          <w:rFonts w:hint="eastAsia"/>
        </w:rPr>
        <w:t>级及以上受力普通钢筋用量：（吨）；</w:t>
      </w:r>
    </w:p>
    <w:p>
      <w:pPr>
        <w:widowControl/>
        <w:ind w:firstLine="420"/>
        <w:jc w:val="left"/>
      </w:pPr>
      <w:r>
        <w:rPr>
          <w:rFonts w:hint="eastAsia"/>
        </w:rPr>
        <w:t>钢筋总用量：（吨）；</w:t>
      </w:r>
      <w:r>
        <w:t>400Mpa</w:t>
      </w:r>
      <w:r>
        <w:rPr>
          <w:rFonts w:hint="eastAsia"/>
        </w:rPr>
        <w:t>级及以上受力普通钢筋用量的比例：（</w:t>
      </w:r>
      <w:r>
        <w:t>%</w:t>
      </w:r>
      <w:r>
        <w:rPr>
          <w:rFonts w:hint="eastAsia"/>
        </w:rPr>
        <w:t>）；</w:t>
      </w:r>
    </w:p>
    <w:p>
      <w:pPr>
        <w:widowControl/>
        <w:ind w:firstLine="420"/>
      </w:pPr>
      <w:r>
        <w:t>2</w:t>
      </w:r>
      <w:r>
        <w:rPr>
          <w:rFonts w:hint="eastAsia"/>
        </w:rPr>
        <w:t>、混凝土结构建筑的混凝土承重结构中采用强度等级在</w:t>
      </w:r>
      <w:r>
        <w:t>C50</w:t>
      </w:r>
      <w:r>
        <w:rPr>
          <w:rFonts w:hint="eastAsia"/>
        </w:rPr>
        <w:t>（或以上）混凝土用量：</w:t>
      </w:r>
    </w:p>
    <w:p>
      <w:pPr>
        <w:widowControl/>
        <w:ind w:firstLine="315" w:firstLineChars="150"/>
      </w:pPr>
      <w:r>
        <w:rPr>
          <w:rFonts w:hint="eastAsia"/>
        </w:rPr>
        <w:t>（方）；承重结构中混凝土用量：（方）；强度等级在</w:t>
      </w:r>
      <w:r>
        <w:t>C50</w:t>
      </w:r>
      <w:r>
        <w:rPr>
          <w:rFonts w:hint="eastAsia"/>
        </w:rPr>
        <w:t>（或以上）混凝土占承重结构中混凝土总量的比例：（</w:t>
      </w:r>
      <w:r>
        <w:t>%</w:t>
      </w:r>
      <w:r>
        <w:rPr>
          <w:rFonts w:hint="eastAsia"/>
        </w:rPr>
        <w:t>）；</w:t>
      </w:r>
    </w:p>
    <w:p>
      <w:pPr>
        <w:widowControl/>
        <w:ind w:firstLine="420"/>
        <w:jc w:val="left"/>
      </w:pPr>
      <w:r>
        <w:t>3</w:t>
      </w:r>
      <w:r>
        <w:rPr>
          <w:rFonts w:hint="eastAsia"/>
        </w:rPr>
        <w:t>、钢结构建筑的</w:t>
      </w:r>
      <w:r>
        <w:t>Q345</w:t>
      </w:r>
      <w:r>
        <w:rPr>
          <w:rFonts w:hint="eastAsia"/>
        </w:rPr>
        <w:t>及以上高强钢材用量：（吨）；钢材总用量：（吨）；</w:t>
      </w:r>
      <w:r>
        <w:t>Q345</w:t>
      </w:r>
      <w:r>
        <w:rPr>
          <w:rFonts w:hint="eastAsia"/>
        </w:rPr>
        <w:t>及以上高强钢材用量的比例：（</w:t>
      </w:r>
      <w:r>
        <w:t>%</w:t>
      </w:r>
      <w:r>
        <w:rPr>
          <w:rFonts w:hint="eastAsia"/>
        </w:rPr>
        <w:t>）。</w:t>
      </w:r>
    </w:p>
    <w:p>
      <w:pPr>
        <w:widowControl/>
        <w:ind w:firstLine="422"/>
        <w:jc w:val="left"/>
        <w:rPr>
          <w:b/>
          <w:bCs/>
        </w:rPr>
      </w:pPr>
    </w:p>
    <w:p>
      <w:pPr>
        <w:widowControl/>
        <w:ind w:firstLine="422"/>
        <w:jc w:val="left"/>
      </w:pPr>
      <w:r>
        <w:rPr>
          <w:b/>
          <w:bCs/>
        </w:rPr>
        <w:t>3</w:t>
      </w:r>
      <w:r>
        <w:rPr>
          <w:rFonts w:hint="eastAsia"/>
          <w:b/>
        </w:rPr>
        <w:t>）证明材料</w:t>
      </w:r>
    </w:p>
    <w:p>
      <w:pPr>
        <w:ind w:firstLine="420"/>
      </w:pPr>
      <w:r>
        <w:rPr>
          <w:rFonts w:hint="eastAsia"/>
        </w:rPr>
        <w:t>提交材料及要求：</w:t>
      </w:r>
    </w:p>
    <w:p>
      <w:pPr>
        <w:ind w:firstLine="420"/>
        <w:rPr>
          <w:lang w:val="zh-CN"/>
        </w:rPr>
      </w:pPr>
      <w:bookmarkStart w:id="0" w:name="_Toc435604798"/>
      <w:r>
        <w:rPr>
          <w:rFonts w:hint="eastAsia"/>
        </w:rPr>
        <w:t>1.结构专业图纸及设计说明：应说明高强度材料的强度等级及使用部位</w:t>
      </w:r>
      <w:r>
        <w:rPr>
          <w:rFonts w:hint="eastAsia"/>
          <w:lang w:val="zh-CN"/>
        </w:rPr>
        <w:t>，配筋图应明确构件使用高强度材料的强度等级及位置；</w:t>
      </w:r>
    </w:p>
    <w:p>
      <w:pPr>
        <w:ind w:firstLine="420"/>
      </w:pPr>
      <w:r>
        <w:rPr>
          <w:rFonts w:hint="eastAsia"/>
        </w:rPr>
        <w:t>2.所采用的高强度材料用量比例计算书：混凝土结构应提供高强钢筋的使用比例计算书、竖向承重结构高强混凝土的使用比例计算书；钢结构中高强度钢的比例计算书；混合结构应提供高强钢筋的使用比例计算书、竖向承重结构高强混凝土的使用比例计算书和高强度钢的比例计算书。</w:t>
      </w:r>
    </w:p>
    <w:p>
      <w:pPr>
        <w:ind w:firstLine="420"/>
      </w:pPr>
      <w:r>
        <w:rPr>
          <w:rFonts w:hint="eastAsia"/>
        </w:rPr>
        <w:t>实际提交材料：</w:t>
      </w:r>
      <w:bookmarkEnd w:id="0"/>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25D07"/>
    <w:rsid w:val="3B62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2019-09-02T01:26:00Z</dcterms:created>
  <dc:creator>小情绪丶</dc:creator>
  <cp:lastModifiedBy>小情绪丶</cp:lastModifiedBy>
  <dcterms:modified xsi:type="dcterms:W3CDTF">2019-09-02T01:26:29Z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