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7.2.3 </w:t>
      </w:r>
      <w:r>
        <w:rPr>
          <w:rFonts w:hint="eastAsia"/>
        </w:rPr>
        <w:t>土建工程与装修工程一体化设计。（总分8分）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="422" w:firstLineChars="200"/>
        <w:jc w:val="left"/>
        <w:rPr>
          <w:rFonts w:hint="eastAsia"/>
          <w:b/>
        </w:rPr>
      </w:pPr>
      <w:r>
        <w:rPr>
          <w:rFonts w:hint="eastAsia"/>
          <w:b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62"/>
        <w:gridCol w:w="1316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公共部位土建与装修一体化设计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所有部位土建与装修一体化设计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62"/>
        <w:gridCol w:w="1316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居住建筑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土建与装修一体化设计的户数比例达到30%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土建与装修一体化设计的户数比例达到100%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  <w:lang w:val="zh-CN"/>
        </w:rPr>
        <w:t>公共建筑</w:t>
      </w:r>
      <w:r>
        <w:rPr>
          <w:rFonts w:hint="eastAsia"/>
        </w:rPr>
        <w:t>装修部位：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全部装修、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公共部位（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楼梯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电梯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卫生间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大厅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中庭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其他）</w:t>
      </w:r>
      <w:r>
        <w:rPr>
          <w:rFonts w:hint="eastAsia"/>
          <w:lang w:eastAsia="zh-CN"/>
        </w:rPr>
        <w:t>。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</w:rPr>
        <w:t>居住建筑住宅总户数，土建与装修一体化设计户数，比例</w:t>
      </w:r>
      <w:r>
        <w:rPr>
          <w:rFonts w:hint="eastAsia"/>
          <w:lang w:eastAsia="zh-CN"/>
        </w:rPr>
        <w:t>。</w:t>
      </w:r>
    </w:p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67"/>
      <w:r>
        <w:rPr>
          <w:rFonts w:hint="eastAsia"/>
        </w:rPr>
        <w:t>1.建筑专业图纸及设计说明：应说明建筑进行精装修的部位；</w:t>
      </w:r>
    </w:p>
    <w:p>
      <w:pPr>
        <w:ind w:firstLine="420"/>
      </w:pPr>
      <w:r>
        <w:rPr>
          <w:rFonts w:hint="eastAsia"/>
        </w:rPr>
        <w:t>2.建筑各层平面图：应体现各类管线位置、预留空洞尺寸等；</w:t>
      </w:r>
    </w:p>
    <w:p>
      <w:pPr>
        <w:ind w:firstLine="420"/>
      </w:pPr>
      <w:r>
        <w:rPr>
          <w:rFonts w:hint="eastAsia"/>
        </w:rPr>
        <w:t>3.装修图纸：由具有相应设计资质的单位完成，达到施工图深度。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FA765"/>
    <w:multiLevelType w:val="singleLevel"/>
    <w:tmpl w:val="CEBFA765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50B77"/>
    <w:rsid w:val="3FA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2019-09-02T01:22:00Z</dcterms:created>
  <dc:creator>小情绪丶</dc:creator>
  <cp:lastModifiedBy>小情绪丶</cp:lastModifiedBy>
  <dcterms:modified xsi:type="dcterms:W3CDTF">2019-09-02T01:23:26Z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