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pPr>
      <w:r>
        <w:rPr>
          <w:rFonts w:hint="eastAsia"/>
        </w:rPr>
        <w:t>7.2.8</w:t>
      </w:r>
      <w:r>
        <w:t>合理利用场地内尚可使用的构筑物、市政设施。</w:t>
      </w:r>
      <w:r>
        <w:rPr>
          <w:rFonts w:hint="eastAsia"/>
        </w:rPr>
        <w:t>（总分2分）</w:t>
      </w:r>
    </w:p>
    <w:p>
      <w:pPr>
        <w:widowControl/>
        <w:ind w:firstLine="422"/>
        <w:jc w:val="left"/>
        <w:rPr>
          <w:b/>
          <w:bCs/>
        </w:rPr>
      </w:pPr>
    </w:p>
    <w:p>
      <w:pPr>
        <w:autoSpaceDE w:val="0"/>
        <w:autoSpaceDN w:val="0"/>
        <w:adjustRightInd w:val="0"/>
        <w:ind w:firstLine="422"/>
        <w:jc w:val="left"/>
        <w:rPr>
          <w:rFonts w:ascii="宋体" w:cs="宋体"/>
          <w:kern w:val="0"/>
        </w:rPr>
      </w:pPr>
      <w:r>
        <w:rPr>
          <w:b/>
          <w:bCs/>
        </w:rPr>
        <w:t xml:space="preserve">1) </w:t>
      </w:r>
      <w:r>
        <w:rPr>
          <w:rFonts w:hint="eastAsia"/>
          <w:b/>
        </w:rPr>
        <w:t>得分自评</w:t>
      </w:r>
    </w:p>
    <w:tbl>
      <w:tblPr>
        <w:tblStyle w:val="2"/>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701"/>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5070" w:type="dxa"/>
            <w:noWrap w:val="0"/>
            <w:vAlign w:val="center"/>
          </w:tcPr>
          <w:p>
            <w:pPr>
              <w:pStyle w:val="5"/>
            </w:pPr>
            <w:r>
              <w:rPr>
                <w:rFonts w:hint="eastAsia"/>
              </w:rPr>
              <w:t>评价内容</w:t>
            </w:r>
          </w:p>
        </w:tc>
        <w:tc>
          <w:tcPr>
            <w:tcW w:w="1701" w:type="dxa"/>
            <w:noWrap w:val="0"/>
            <w:vAlign w:val="center"/>
          </w:tcPr>
          <w:p>
            <w:pPr>
              <w:pStyle w:val="5"/>
            </w:pPr>
            <w:r>
              <w:rPr>
                <w:rFonts w:hint="eastAsia"/>
              </w:rPr>
              <w:t>评价分值（分）</w:t>
            </w:r>
          </w:p>
        </w:tc>
        <w:tc>
          <w:tcPr>
            <w:tcW w:w="1773" w:type="dxa"/>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070" w:type="dxa"/>
            <w:noWrap w:val="0"/>
            <w:vAlign w:val="center"/>
          </w:tcPr>
          <w:p>
            <w:pPr>
              <w:pStyle w:val="5"/>
            </w:pPr>
            <w:bookmarkStart w:id="0" w:name="_Toc435604779"/>
            <w:r>
              <w:t>合理利用场地内尚可使用的构筑物、市政设施。</w:t>
            </w:r>
            <w:bookmarkEnd w:id="0"/>
          </w:p>
        </w:tc>
        <w:tc>
          <w:tcPr>
            <w:tcW w:w="1701" w:type="dxa"/>
            <w:noWrap w:val="0"/>
            <w:vAlign w:val="center"/>
          </w:tcPr>
          <w:p>
            <w:pPr>
              <w:pStyle w:val="5"/>
            </w:pPr>
            <w:r>
              <w:rPr>
                <w:rFonts w:hint="eastAsia"/>
              </w:rPr>
              <w:t>2</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070" w:type="dxa"/>
            <w:noWrap w:val="0"/>
            <w:vAlign w:val="center"/>
          </w:tcPr>
          <w:p>
            <w:pPr>
              <w:pStyle w:val="5"/>
              <w:rPr>
                <w:rFonts w:hint="eastAsia" w:eastAsia="宋体"/>
                <w:lang w:eastAsia="zh-CN"/>
              </w:rPr>
            </w:pPr>
            <w:r>
              <w:rPr>
                <w:rFonts w:hint="eastAsia"/>
              </w:rPr>
              <w:t>当建筑场地内无既有构筑物、市政设施，或能合理说明场地内已有构筑物、市政设施不能或不适于利用时</w:t>
            </w:r>
            <w:r>
              <w:rPr>
                <w:rFonts w:hint="eastAsia"/>
                <w:lang w:eastAsia="zh-CN"/>
              </w:rPr>
              <w:t>。</w:t>
            </w:r>
            <w:bookmarkStart w:id="4" w:name="_GoBack"/>
            <w:bookmarkEnd w:id="4"/>
          </w:p>
        </w:tc>
        <w:tc>
          <w:tcPr>
            <w:tcW w:w="1701" w:type="dxa"/>
            <w:noWrap w:val="0"/>
            <w:vAlign w:val="center"/>
          </w:tcPr>
          <w:p>
            <w:pPr>
              <w:pStyle w:val="5"/>
            </w:pPr>
            <w:r>
              <w:rPr>
                <w:rFonts w:hint="eastAsia"/>
              </w:rPr>
              <w:t>不参评</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trPr>
        <w:tc>
          <w:tcPr>
            <w:tcW w:w="5070" w:type="dxa"/>
            <w:noWrap w:val="0"/>
            <w:vAlign w:val="center"/>
          </w:tcPr>
          <w:p>
            <w:pPr>
              <w:pStyle w:val="5"/>
              <w:rPr>
                <w:rFonts w:hint="eastAsia" w:eastAsia="宋体"/>
                <w:lang w:eastAsia="zh-CN"/>
              </w:rPr>
            </w:pPr>
            <w:r>
              <w:rPr>
                <w:rFonts w:hint="eastAsia"/>
              </w:rPr>
              <w:t>将已有构筑物、市政设施拆除后，仅将拆除后的旧材料用于工程</w:t>
            </w:r>
            <w:r>
              <w:rPr>
                <w:rFonts w:hint="eastAsia"/>
                <w:lang w:eastAsia="zh-CN"/>
              </w:rPr>
              <w:t>。</w:t>
            </w:r>
          </w:p>
        </w:tc>
        <w:tc>
          <w:tcPr>
            <w:tcW w:w="1701" w:type="dxa"/>
            <w:noWrap w:val="0"/>
            <w:vAlign w:val="center"/>
          </w:tcPr>
          <w:p>
            <w:pPr>
              <w:pStyle w:val="5"/>
            </w:pPr>
            <w:r>
              <w:rPr>
                <w:rFonts w:hint="eastAsia"/>
              </w:rPr>
              <w:t>0</w:t>
            </w:r>
          </w:p>
        </w:tc>
        <w:tc>
          <w:tcPr>
            <w:tcW w:w="1773" w:type="dxa"/>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5070" w:type="dxa"/>
            <w:noWrap w:val="0"/>
            <w:vAlign w:val="top"/>
          </w:tcPr>
          <w:p>
            <w:pPr>
              <w:pStyle w:val="5"/>
            </w:pPr>
            <w:r>
              <w:rPr>
                <w:rFonts w:hint="eastAsia"/>
              </w:rPr>
              <w:t>合计</w:t>
            </w:r>
          </w:p>
        </w:tc>
        <w:tc>
          <w:tcPr>
            <w:tcW w:w="1701" w:type="dxa"/>
            <w:noWrap w:val="0"/>
            <w:vAlign w:val="center"/>
          </w:tcPr>
          <w:p>
            <w:pPr>
              <w:pStyle w:val="5"/>
            </w:pPr>
            <w:r>
              <w:rPr>
                <w:rFonts w:hint="eastAsia"/>
              </w:rPr>
              <w:t>2</w:t>
            </w:r>
          </w:p>
        </w:tc>
        <w:tc>
          <w:tcPr>
            <w:tcW w:w="1773" w:type="dxa"/>
            <w:noWrap w:val="0"/>
            <w:vAlign w:val="top"/>
          </w:tcPr>
          <w:p>
            <w:pPr>
              <w:pStyle w:val="5"/>
            </w:pPr>
          </w:p>
        </w:tc>
      </w:tr>
    </w:tbl>
    <w:p>
      <w:pPr>
        <w:widowControl/>
        <w:ind w:firstLine="422"/>
        <w:jc w:val="left"/>
        <w:rPr>
          <w:b/>
          <w:bCs/>
        </w:rPr>
      </w:pPr>
    </w:p>
    <w:p>
      <w:pPr>
        <w:widowControl/>
        <w:ind w:firstLine="422"/>
        <w:jc w:val="left"/>
      </w:pPr>
      <w:r>
        <w:rPr>
          <w:b/>
          <w:bCs/>
        </w:rPr>
        <w:t xml:space="preserve">2) </w:t>
      </w:r>
      <w:r>
        <w:rPr>
          <w:rFonts w:hint="eastAsia"/>
          <w:b/>
        </w:rPr>
        <w:t>评价要点</w:t>
      </w:r>
    </w:p>
    <w:p>
      <w:pPr>
        <w:widowControl/>
        <w:ind w:firstLine="420"/>
        <w:jc w:val="left"/>
      </w:pPr>
      <w:r>
        <w:rPr>
          <w:rFonts w:hint="eastAsia"/>
        </w:rPr>
        <w:t>简要说明本项目</w:t>
      </w:r>
      <w:r>
        <w:t>构筑物、市政设施</w:t>
      </w:r>
      <w:r>
        <w:rPr>
          <w:rFonts w:hint="eastAsia"/>
        </w:rPr>
        <w:t>合理利用的内容（2</w:t>
      </w:r>
      <w:r>
        <w:t xml:space="preserve">00 </w:t>
      </w:r>
      <w:r>
        <w:rPr>
          <w:rFonts w:hint="eastAsia"/>
        </w:rPr>
        <w:t>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widowControl/>
        <w:ind w:firstLine="420"/>
        <w:jc w:val="left"/>
      </w:pPr>
    </w:p>
    <w:p>
      <w:pPr>
        <w:widowControl/>
        <w:ind w:firstLine="422"/>
        <w:jc w:val="left"/>
      </w:pPr>
      <w:r>
        <w:rPr>
          <w:b/>
          <w:bCs/>
        </w:rPr>
        <w:t xml:space="preserve">3) </w:t>
      </w:r>
      <w:r>
        <w:rPr>
          <w:rFonts w:hint="eastAsia"/>
          <w:b/>
        </w:rPr>
        <w:t>证明材料</w:t>
      </w:r>
    </w:p>
    <w:p>
      <w:pPr>
        <w:ind w:firstLine="420"/>
      </w:pPr>
      <w:r>
        <w:rPr>
          <w:rFonts w:hint="eastAsia"/>
        </w:rPr>
        <w:t>提交材料及要求：</w:t>
      </w:r>
    </w:p>
    <w:p>
      <w:pPr>
        <w:ind w:firstLine="420"/>
      </w:pPr>
      <w:bookmarkStart w:id="1" w:name="_Toc435604780"/>
      <w:r>
        <w:rPr>
          <w:rFonts w:hint="eastAsia"/>
        </w:rPr>
        <w:t>1、建筑施工图</w:t>
      </w:r>
      <w:bookmarkEnd w:id="1"/>
      <w:r>
        <w:rPr>
          <w:rFonts w:hint="eastAsia"/>
        </w:rPr>
        <w:t>及设计说明：若场地内有可使用的构筑物、市政设施，应详细说明。</w:t>
      </w:r>
    </w:p>
    <w:p>
      <w:pPr>
        <w:ind w:firstLine="420"/>
      </w:pPr>
      <w:bookmarkStart w:id="2" w:name="_Toc435604781"/>
      <w:r>
        <w:t>2</w:t>
      </w:r>
      <w:r>
        <w:rPr>
          <w:rFonts w:hint="eastAsia"/>
        </w:rPr>
        <w:t>、场地内可使用的构筑物、市政设施说明书：已有构筑物或市政设施改造加固设计图及已有构筑物或市政设施情况说明。</w:t>
      </w:r>
      <w:bookmarkEnd w:id="2"/>
    </w:p>
    <w:p>
      <w:pPr>
        <w:ind w:firstLine="420"/>
      </w:pPr>
      <w:bookmarkStart w:id="3" w:name="_Toc435604782"/>
      <w:r>
        <w:rPr>
          <w:rFonts w:hint="eastAsia"/>
        </w:rPr>
        <w:t>实际提交材料：</w:t>
      </w:r>
      <w:bookmarkEnd w:id="3"/>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F7439"/>
    <w:rsid w:val="29FD71FE"/>
    <w:rsid w:val="351F7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2019-09-02T01:24:00Z</dcterms:created>
  <dc:creator>小情绪丶</dc:creator>
  <cp:lastModifiedBy>Administrator</cp:lastModifiedBy>
  <dcterms:modified xsi:type="dcterms:W3CDTF">2019-09-05T09:33:11Z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