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7.2.</w:t>
      </w:r>
      <w:r>
        <w:rPr>
          <w:rFonts w:hint="eastAsia"/>
        </w:rPr>
        <w:t>9选用本地生产的建筑材料。（总分</w:t>
      </w:r>
      <w:r>
        <w:t>10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35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535" w:type="dxa"/>
            <w:vMerge w:val="restart"/>
            <w:noWrap w:val="0"/>
            <w:vAlign w:val="center"/>
          </w:tcPr>
          <w:p>
            <w:pPr>
              <w:pStyle w:val="5"/>
            </w:pPr>
            <w:bookmarkStart w:id="0" w:name="_Toc435604783"/>
            <w:r>
              <w:rPr>
                <w:rFonts w:hint="eastAsia"/>
              </w:rPr>
              <w:t>施工现场500km以内生产的建筑材料重量占建筑材料总重量的比例R</w:t>
            </w:r>
            <w:r>
              <w:rPr>
                <w:rFonts w:hint="eastAsia"/>
                <w:vertAlign w:val="subscript"/>
              </w:rPr>
              <w:t>lm</w:t>
            </w:r>
            <w:bookmarkEnd w:id="0"/>
          </w:p>
        </w:tc>
        <w:tc>
          <w:tcPr>
            <w:tcW w:w="2535" w:type="dxa"/>
            <w:noWrap w:val="0"/>
            <w:vAlign w:val="center"/>
          </w:tcPr>
          <w:p>
            <w:pPr>
              <w:pStyle w:val="5"/>
            </w:pPr>
            <w:bookmarkStart w:id="1" w:name="_Toc435604784"/>
            <w:r>
              <w:t>1）60%≤R</w:t>
            </w:r>
            <w:r>
              <w:rPr>
                <w:vertAlign w:val="subscript"/>
              </w:rPr>
              <w:t>lm</w:t>
            </w:r>
            <w:r>
              <w:t>＜70%；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53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pStyle w:val="5"/>
            </w:pPr>
            <w:bookmarkStart w:id="2" w:name="_Toc435604785"/>
            <w:r>
              <w:t>2）70%≤R</w:t>
            </w:r>
            <w:r>
              <w:rPr>
                <w:vertAlign w:val="subscript"/>
              </w:rPr>
              <w:t>lm</w:t>
            </w:r>
            <w:r>
              <w:t>＜90%；</w:t>
            </w:r>
            <w:bookmarkEnd w:id="2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53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pStyle w:val="5"/>
            </w:pPr>
            <w:bookmarkStart w:id="3" w:name="_Toc435604786"/>
            <w:r>
              <w:t>3）R</w:t>
            </w:r>
            <w:r>
              <w:rPr>
                <w:vertAlign w:val="subscript"/>
              </w:rPr>
              <w:t>lm</w:t>
            </w:r>
            <w:r>
              <w:t>≥90%。</w:t>
            </w:r>
            <w:bookmarkEnd w:id="3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10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  <w:r>
        <w:rPr>
          <w:rFonts w:hint="eastAsia"/>
        </w:rPr>
        <w:t>简要说明本地建筑材料使用的情况（2</w:t>
      </w:r>
      <w:r>
        <w:t xml:space="preserve">00 </w:t>
      </w:r>
      <w:r>
        <w:rPr>
          <w:rFonts w:hint="eastAsia"/>
        </w:rPr>
        <w:t>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4" w:name="_Toc435604787"/>
      <w:r>
        <w:rPr>
          <w:rFonts w:hint="eastAsia"/>
        </w:rPr>
        <w:t>1.建筑施工图和设计说明：含本地生产的建筑材料清单；</w:t>
      </w:r>
      <w:bookmarkEnd w:id="4"/>
    </w:p>
    <w:p>
      <w:pPr>
        <w:ind w:firstLine="420"/>
      </w:pPr>
      <w:r>
        <w:rPr>
          <w:rFonts w:hint="eastAsia"/>
        </w:rPr>
        <w:t>2.本地建筑材料使用比例计算书。</w:t>
      </w:r>
    </w:p>
    <w:p>
      <w:pPr>
        <w:ind w:firstLine="420"/>
      </w:pPr>
      <w:bookmarkStart w:id="5" w:name="_Toc435604788"/>
      <w:r>
        <w:rPr>
          <w:rFonts w:hint="eastAsia"/>
        </w:rPr>
        <w:t>实际提交材料：</w:t>
      </w:r>
      <w:bookmarkEnd w:id="5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rPr>
          <w:b/>
          <w:bCs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31556"/>
    <w:rsid w:val="6D63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2019-09-02T01:25:00Z</dcterms:created>
  <dc:creator>小情绪丶</dc:creator>
  <cp:lastModifiedBy>小情绪丶</cp:lastModifiedBy>
  <dcterms:modified xsi:type="dcterms:W3CDTF">2019-09-02T01:25:18Z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