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1" w:name="_GoBack"/>
      <w:r>
        <w:t>8.2.2</w:t>
      </w:r>
      <w:bookmarkEnd w:id="1"/>
      <w:r>
        <w:t xml:space="preserve"> </w:t>
      </w:r>
      <w:r>
        <w:rPr>
          <w:rFonts w:hint="eastAsia"/>
        </w:rPr>
        <w:t>主要功能房间的隔声性能良好。（总分8分）</w:t>
      </w:r>
    </w:p>
    <w:p>
      <w:pPr>
        <w:widowControl/>
        <w:ind w:firstLine="422"/>
        <w:jc w:val="left"/>
        <w:rPr>
          <w:b/>
        </w:rPr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1) </w:t>
      </w:r>
      <w:r>
        <w:rPr>
          <w:rFonts w:hint="eastAsia"/>
          <w:b/>
        </w:rPr>
        <w:t>自评得分</w:t>
      </w:r>
    </w:p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657"/>
        <w:gridCol w:w="158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353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pStyle w:val="5"/>
            </w:pPr>
            <w:r>
              <w:t>1、构件及相邻房间之间的空气声隔声性能：</w:t>
            </w:r>
          </w:p>
        </w:tc>
        <w:tc>
          <w:tcPr>
            <w:tcW w:w="3657" w:type="dxa"/>
            <w:noWrap w:val="0"/>
            <w:vAlign w:val="center"/>
          </w:tcPr>
          <w:p>
            <w:pPr>
              <w:pStyle w:val="5"/>
            </w:pPr>
            <w:r>
              <w:t>1）达到现行国家标准《民用建筑隔声设计规范》GB 50118中的低限标准限值和高要求标准限值的平均值；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657" w:type="dxa"/>
            <w:noWrap w:val="0"/>
            <w:vAlign w:val="center"/>
          </w:tcPr>
          <w:p>
            <w:pPr>
              <w:pStyle w:val="5"/>
            </w:pPr>
            <w:r>
              <w:t>2）达到高要求标准限值。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pStyle w:val="5"/>
            </w:pPr>
            <w:r>
              <w:t>2、楼板的撞击声隔声性能：</w:t>
            </w:r>
          </w:p>
        </w:tc>
        <w:tc>
          <w:tcPr>
            <w:tcW w:w="3657" w:type="dxa"/>
            <w:noWrap w:val="0"/>
            <w:vAlign w:val="center"/>
          </w:tcPr>
          <w:p>
            <w:pPr>
              <w:pStyle w:val="5"/>
            </w:pPr>
            <w:r>
              <w:t>1）达到现行国家标准《民用建筑隔声设计规范》GB 50118中的低限标准限值和高要求标准限值的平均值；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657" w:type="dxa"/>
            <w:noWrap w:val="0"/>
            <w:vAlign w:val="center"/>
          </w:tcPr>
          <w:p>
            <w:pPr>
              <w:pStyle w:val="5"/>
            </w:pPr>
            <w:r>
              <w:t>2）达到高要求标准限值。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353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03"/>
        <w:gridCol w:w="2207"/>
        <w:gridCol w:w="1224"/>
        <w:gridCol w:w="1352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空气声隔声性能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构件类型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隔声值[dB(A）]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高、低限值平均值[dB(A）]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高要求标准限值[dB(A）]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楼板部位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撞击声隔声值（dB）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高、低限值平均值（dB）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高要求标准限值（dB）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  <w:r>
        <w:rPr>
          <w:rFonts w:hint="eastAsia"/>
        </w:rPr>
        <w:t>简要说明建筑周边主要噪声源，围护结构隔声措施。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r>
        <w:rPr>
          <w:rFonts w:hint="eastAsia"/>
        </w:rPr>
        <w:t>1.建筑专业图纸及设计说明：应说明建筑围护结构类型，包括外墙构造形式、楼板构造形式，门窗类型，应提供围护结构做法详图。</w:t>
      </w:r>
    </w:p>
    <w:p>
      <w:pPr>
        <w:ind w:firstLine="420"/>
      </w:pPr>
      <w:r>
        <w:rPr>
          <w:rFonts w:hint="eastAsia"/>
        </w:rPr>
        <w:t>2.围护结构构件隔声计算书：对于精装修建筑，施工图中应明确楼板构造做法，同时提供计算报告；对于毛坯交房建筑，应在施工图中为业主提供可选的装修做法，并在购房合同中予以告知。</w:t>
      </w:r>
    </w:p>
    <w:p>
      <w:pPr>
        <w:ind w:firstLine="420"/>
      </w:pPr>
      <w:bookmarkStart w:id="0" w:name="_Toc435604820"/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A6"/>
    <w:rsid w:val="002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2019-09-02T01:35:00Z</dcterms:created>
  <dc:creator>小情绪丶</dc:creator>
  <cp:lastModifiedBy>小情绪丶</cp:lastModifiedBy>
  <dcterms:modified xsi:type="dcterms:W3CDTF">2019-09-02T01:35:56Z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