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 xml:space="preserve">8.2.6 </w:t>
      </w:r>
      <w:r>
        <w:rPr>
          <w:rFonts w:hint="eastAsia"/>
        </w:rPr>
        <w:t>主要功能房间的采光系数满足现行国家标准《建筑采光设计标准》</w:t>
      </w:r>
      <w:r>
        <w:t>GB</w:t>
      </w:r>
      <w:r>
        <w:rPr>
          <w:rFonts w:hint="eastAsia"/>
          <w:lang w:val="en-US" w:eastAsia="zh-CN"/>
        </w:rPr>
        <w:t xml:space="preserve"> </w:t>
      </w:r>
      <w:bookmarkStart w:id="1" w:name="_GoBack"/>
      <w:bookmarkEnd w:id="1"/>
      <w:r>
        <w:t xml:space="preserve">50033 </w:t>
      </w:r>
      <w:r>
        <w:rPr>
          <w:rFonts w:hint="eastAsia"/>
        </w:rPr>
        <w:t>的要求。（总分</w:t>
      </w:r>
      <w:r>
        <w:t>8</w:t>
      </w:r>
      <w:r>
        <w:rPr>
          <w:rFonts w:hint="eastAsia"/>
        </w:rPr>
        <w:t>分）</w:t>
      </w:r>
    </w:p>
    <w:p>
      <w:pPr>
        <w:spacing w:line="288" w:lineRule="auto"/>
        <w:ind w:firstLine="420"/>
      </w:pPr>
    </w:p>
    <w:p>
      <w:pPr>
        <w:pStyle w:val="5"/>
        <w:numPr>
          <w:ilvl w:val="0"/>
          <w:numId w:val="1"/>
        </w:numPr>
        <w:spacing w:line="288" w:lineRule="auto"/>
        <w:ind w:firstLineChars="0"/>
        <w:rPr>
          <w:b/>
        </w:rPr>
      </w:pPr>
      <w:r>
        <w:rPr>
          <w:rFonts w:hint="eastAsia"/>
          <w:b/>
        </w:rPr>
        <w:t>得分自评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□公共建筑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926"/>
        <w:gridCol w:w="2509"/>
        <w:gridCol w:w="1004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类型</w:t>
            </w:r>
          </w:p>
        </w:tc>
        <w:tc>
          <w:tcPr>
            <w:tcW w:w="5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评价分值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公共建筑</w:t>
            </w:r>
          </w:p>
        </w:tc>
        <w:tc>
          <w:tcPr>
            <w:tcW w:w="2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主要功能房间采光系数满足现行国家标准《建筑采光设计标准》GB50033要求的面积比例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A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60%≤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A</w:t>
            </w:r>
            <w:r>
              <w:rPr>
                <w:rFonts w:hint="eastAsia"/>
              </w:rPr>
              <w:t>＜65%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4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65%≤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A</w:t>
            </w:r>
            <w:r>
              <w:rPr>
                <w:rFonts w:hint="eastAsia"/>
              </w:rPr>
              <w:t>＜70%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5</w:t>
            </w: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70%≤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A</w:t>
            </w:r>
            <w:r>
              <w:rPr>
                <w:rFonts w:hint="eastAsia"/>
              </w:rPr>
              <w:t>＜75%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6</w:t>
            </w: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75%≤</w:t>
            </w: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A</w:t>
            </w:r>
            <w:r>
              <w:rPr>
                <w:rFonts w:hint="eastAsia"/>
              </w:rPr>
              <w:t>＜80%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7</w:t>
            </w: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  <w:i/>
              </w:rPr>
              <w:t>R</w:t>
            </w:r>
            <w:r>
              <w:rPr>
                <w:rFonts w:hint="eastAsia"/>
                <w:vertAlign w:val="subscript"/>
              </w:rPr>
              <w:t>A</w:t>
            </w:r>
            <w:r>
              <w:rPr>
                <w:rFonts w:hint="eastAsia"/>
              </w:rPr>
              <w:t>≥80%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8</w:t>
            </w: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合计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8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□居住建筑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435"/>
        <w:gridCol w:w="1004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类型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评价分值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居住</w:t>
            </w:r>
          </w:p>
          <w:p>
            <w:pPr>
              <w:pStyle w:val="6"/>
            </w:pPr>
            <w:r>
              <w:rPr>
                <w:rFonts w:hint="eastAsia"/>
              </w:rPr>
              <w:t>建筑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卧室、起居室的窗地面积比达到</w:t>
            </w:r>
            <w:r>
              <w:rPr>
                <w:rFonts w:hint="eastAsia" w:cs="TimesNewRomanPSMT"/>
              </w:rPr>
              <w:t>1/6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6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卧室、起居室的窗地面积比达到</w:t>
            </w:r>
            <w:r>
              <w:rPr>
                <w:rFonts w:hint="eastAsia" w:cs="TimesNewRomanPSMT"/>
              </w:rPr>
              <w:t>1/5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8</w:t>
            </w: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合计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8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rFonts w:ascii="宋体" w:hAnsi="宋体"/>
              </w:rPr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  <w:lang w:eastAsia="zh-CN"/>
        </w:rPr>
      </w:pPr>
    </w:p>
    <w:p>
      <w:pPr>
        <w:numPr>
          <w:ilvl w:val="0"/>
          <w:numId w:val="1"/>
        </w:numPr>
        <w:spacing w:line="288" w:lineRule="auto"/>
        <w:ind w:left="782" w:leftChars="0" w:hanging="360" w:firstLineChars="0"/>
        <w:rPr>
          <w:rFonts w:hint="eastAsia"/>
          <w:b/>
        </w:rPr>
      </w:pPr>
      <w:r>
        <w:rPr>
          <w:rFonts w:hint="eastAsia"/>
          <w:b/>
        </w:rPr>
        <w:t>评价要点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□公共建筑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27"/>
        <w:gridCol w:w="1754"/>
        <w:gridCol w:w="2267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公共建筑</w:t>
            </w:r>
          </w:p>
          <w:p>
            <w:pPr>
              <w:pStyle w:val="6"/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天然采光达标面积（m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天然采光达标比例（%）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总计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jc w:val="left"/>
        <w:rPr>
          <w:rFonts w:hint="eastAsia" w:ascii="仿宋_GB2312" w:eastAsia="仿宋_GB2312" w:cs="仿宋_GB231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□居住建筑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27"/>
        <w:gridCol w:w="1754"/>
        <w:gridCol w:w="2267"/>
        <w:gridCol w:w="1418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居住建筑</w:t>
            </w: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房间类型</w:t>
            </w: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采光等级</w:t>
            </w:r>
          </w:p>
        </w:tc>
        <w:tc>
          <w:tcPr>
            <w:tcW w:w="2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外窗类型（侧窗、矩形天窗、锯齿形天窗、平天窗）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窗地面积比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实际值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  <w:r>
              <w:rPr>
                <w:rFonts w:hint="eastAsia"/>
              </w:rPr>
              <w:t>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color w:val="FF000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color w:val="FF0000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color w:val="FF0000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color w:val="FF0000"/>
              </w:rPr>
            </w:pP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rPr>
                <w:color w:val="FF0000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spacing w:line="288" w:lineRule="auto"/>
        <w:ind w:firstLine="422"/>
        <w:rPr>
          <w:b/>
        </w:rPr>
      </w:pPr>
      <w:r>
        <w:rPr>
          <w:b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提交清单及要求：</w:t>
      </w:r>
    </w:p>
    <w:p>
      <w:pPr>
        <w:ind w:firstLine="420"/>
        <w:rPr>
          <w:lang w:val="zh-CN"/>
        </w:rPr>
      </w:pPr>
      <w:bookmarkStart w:id="0" w:name="_Toc435604826"/>
      <w:r>
        <w:rPr>
          <w:rFonts w:hint="eastAsia"/>
          <w:lang w:val="zh-CN"/>
        </w:rPr>
        <w:t>1. 建筑专业图纸及设计说明：应提交平面图、剖面图及门窗表，体现不同户型或使用功能的房间布局、窗户位置及尺寸；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val="zh-CN"/>
        </w:rPr>
        <w:t>室内自然采光模拟报告：应包括各层主要功能房间采光计算说明并统计达标的面积；应说明模拟软件名称及版本、模拟边界条件设定、网格设计、工作面、材料的光学参数、模拟结果、室外建筑物或构筑物情况、室外地面反射率等。</w:t>
      </w:r>
      <w:r>
        <w:rPr>
          <w:rFonts w:hint="eastAsia"/>
          <w:lang w:eastAsia="zh-CN"/>
        </w:rPr>
        <w:t>（仅公共建筑申报需提供）</w:t>
      </w:r>
    </w:p>
    <w:p>
      <w:pPr>
        <w:ind w:firstLine="420"/>
        <w:rPr>
          <w:rFonts w:hint="eastAsia"/>
          <w:lang w:val="zh-CN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val="zh-CN"/>
        </w:rPr>
        <w:t>.窗地面积比计算说明书：应包括对各典型户型内各空间的窗地面积比例计算说明，并与图纸一致。</w:t>
      </w:r>
      <w:r>
        <w:rPr>
          <w:rFonts w:hint="eastAsia"/>
          <w:lang w:eastAsia="zh-CN"/>
        </w:rPr>
        <w:t>（仅居住建筑申报需提供）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13C7B"/>
    <w:multiLevelType w:val="multilevel"/>
    <w:tmpl w:val="74413C7B"/>
    <w:lvl w:ilvl="0" w:tentative="0">
      <w:start w:val="1"/>
      <w:numFmt w:val="decimal"/>
      <w:lvlText w:val="%1)"/>
      <w:lvlJc w:val="left"/>
      <w:pPr>
        <w:ind w:left="78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17DC1"/>
    <w:rsid w:val="0DD17DC1"/>
    <w:rsid w:val="1B1E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2019-09-02T01:37:00Z</dcterms:created>
  <dc:creator>小情绪丶</dc:creator>
  <cp:lastModifiedBy>Administrator</cp:lastModifiedBy>
  <dcterms:modified xsi:type="dcterms:W3CDTF">2019-09-05T09:38:48Z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