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1" w:name="_GoBack"/>
      <w:r>
        <w:t>8.2.7</w:t>
      </w:r>
      <w:bookmarkEnd w:id="1"/>
      <w:r>
        <w:t xml:space="preserve"> </w:t>
      </w:r>
      <w:r>
        <w:rPr>
          <w:rFonts w:hint="eastAsia"/>
        </w:rPr>
        <w:t>改善建筑室内天然采光效果。（总分</w:t>
      </w:r>
      <w:r>
        <w:t>14</w:t>
      </w:r>
      <w:r>
        <w:rPr>
          <w:rFonts w:hint="eastAsia"/>
        </w:rPr>
        <w:t>分）</w:t>
      </w:r>
    </w:p>
    <w:p>
      <w:pPr>
        <w:spacing w:line="288" w:lineRule="auto"/>
        <w:ind w:firstLine="422"/>
        <w:rPr>
          <w:b/>
        </w:rPr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2109"/>
        <w:gridCol w:w="118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204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204" w:type="dxa"/>
            <w:gridSpan w:val="2"/>
            <w:noWrap w:val="0"/>
            <w:vAlign w:val="center"/>
          </w:tcPr>
          <w:p>
            <w:pPr>
              <w:pStyle w:val="5"/>
            </w:pPr>
            <w:r>
              <w:t>1、主要功能房间有合理的控制眩光措施；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204" w:type="dxa"/>
            <w:gridSpan w:val="2"/>
            <w:noWrap w:val="0"/>
            <w:vAlign w:val="center"/>
          </w:tcPr>
          <w:p>
            <w:pPr>
              <w:pStyle w:val="5"/>
            </w:pPr>
            <w:r>
              <w:t>2、内区采光系数满足采光要求的面积比例达到60%；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095" w:type="dxa"/>
            <w:vMerge w:val="restart"/>
            <w:noWrap w:val="0"/>
            <w:vAlign w:val="center"/>
          </w:tcPr>
          <w:p>
            <w:pPr>
              <w:pStyle w:val="5"/>
            </w:pPr>
            <w:r>
              <w:t>3、地下空间平均采光系数不小于0.5%的面积与首层地下室面积的比例：</w:t>
            </w:r>
          </w:p>
        </w:tc>
        <w:tc>
          <w:tcPr>
            <w:tcW w:w="2109" w:type="dxa"/>
            <w:noWrap w:val="0"/>
            <w:vAlign w:val="top"/>
          </w:tcPr>
          <w:p>
            <w:pPr>
              <w:pStyle w:val="5"/>
            </w:pPr>
            <w:r>
              <w:t>1）5%≤RA＜10%；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95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2109" w:type="dxa"/>
            <w:noWrap w:val="0"/>
            <w:vAlign w:val="top"/>
          </w:tcPr>
          <w:p>
            <w:pPr>
              <w:pStyle w:val="5"/>
            </w:pPr>
            <w:r>
              <w:t>2）10%≤RA＜15%；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4095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2109" w:type="dxa"/>
            <w:noWrap w:val="0"/>
            <w:vAlign w:val="top"/>
          </w:tcPr>
          <w:p>
            <w:pPr>
              <w:pStyle w:val="5"/>
            </w:pPr>
            <w:r>
              <w:t>3）15%≤RA＜20%；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095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2109" w:type="dxa"/>
            <w:noWrap w:val="0"/>
            <w:vAlign w:val="top"/>
          </w:tcPr>
          <w:p>
            <w:pPr>
              <w:pStyle w:val="5"/>
            </w:pPr>
            <w:r>
              <w:t>4）RA≥20%。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6204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  <w:rPr>
          <w:lang w:val="zh-CN"/>
        </w:rPr>
      </w:pPr>
      <w:r>
        <w:rPr>
          <w:rFonts w:hint="eastAsia"/>
        </w:rPr>
        <w:t>请简要说明主要功能房间控制眩光的措施。（200字以内）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ind w:firstLine="420"/>
      </w:pPr>
      <w:r>
        <w:rPr>
          <w:rFonts w:hint="eastAsia"/>
        </w:rPr>
        <w:t>采光系数达标统计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1795"/>
        <w:gridCol w:w="1503"/>
        <w:gridCol w:w="1754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内区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分析</w:t>
            </w:r>
          </w:p>
          <w:p>
            <w:pPr>
              <w:pStyle w:val="5"/>
            </w:pPr>
            <w:r>
              <w:rPr>
                <w:rFonts w:hint="eastAsia"/>
              </w:rPr>
              <w:t>区域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内区面积（m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采光达标面积（m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达标比例（%）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地下</w:t>
            </w:r>
          </w:p>
          <w:p>
            <w:pPr>
              <w:pStyle w:val="5"/>
            </w:pPr>
            <w:r>
              <w:rPr>
                <w:rFonts w:hint="eastAsia"/>
              </w:rPr>
              <w:t>空间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首层地下室面积（m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采光达标面积（m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达标比例（%）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2"/>
        <w:rPr>
          <w:b/>
        </w:rPr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0" w:name="_Toc435604827"/>
      <w:r>
        <w:rPr>
          <w:rFonts w:hint="eastAsia"/>
        </w:rPr>
        <w:t>1.建筑专业图纸及设计说明：应体现室内防眩光、改善天然采光均匀度的设计措施，门窗等天然采光开口、功能空间的设置等采取防眩光措施；</w:t>
      </w:r>
    </w:p>
    <w:p>
      <w:pPr>
        <w:ind w:firstLine="420"/>
        <w:rPr>
          <w:rFonts w:cs="宋体"/>
        </w:rPr>
      </w:pPr>
      <w:r>
        <w:rPr>
          <w:rFonts w:hint="eastAsia"/>
        </w:rPr>
        <w:t>2.室内自然采光模拟报告</w:t>
      </w:r>
      <w:r>
        <w:rPr>
          <w:rFonts w:hint="eastAsia" w:cs="宋体"/>
        </w:rPr>
        <w:t>：</w:t>
      </w:r>
      <w:r>
        <w:rPr>
          <w:rFonts w:hint="eastAsia"/>
          <w:lang w:val="zh-CN"/>
        </w:rPr>
        <w:t>应包括眩光计算、采光系数计算、面积统计等内容；应说明模拟软件名称及版本、模拟边界条件设定、网格设计、工作面、材料的光学参数、模拟结果、室外建筑物或构筑物情况、室外地面反射率等。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D6FFD"/>
    <w:rsid w:val="2AA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2019-09-02T01:37:00Z</dcterms:created>
  <dc:creator>小情绪丶</dc:creator>
  <cp:lastModifiedBy>小情绪丶</cp:lastModifiedBy>
  <dcterms:modified xsi:type="dcterms:W3CDTF">2019-09-02T01:38:22Z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