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85" w:rsidRDefault="00F47B85" w:rsidP="00F47B8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9.2.6 </w:t>
      </w:r>
      <w:r>
        <w:rPr>
          <w:rFonts w:ascii="Times New Roman" w:hAnsi="Times New Roman"/>
        </w:rPr>
        <w:t>主要功能房间的采光系数满足现行国家标准《建筑采光设计标准》</w:t>
      </w:r>
      <w:r>
        <w:rPr>
          <w:rFonts w:ascii="Times New Roman" w:hAnsi="Times New Roman"/>
        </w:rPr>
        <w:t xml:space="preserve">GB50033 </w:t>
      </w:r>
      <w:r>
        <w:rPr>
          <w:rFonts w:ascii="Times New Roman" w:hAnsi="Times New Roman"/>
        </w:rPr>
        <w:t>的要求。（总分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F47B85" w:rsidRDefault="00F47B85" w:rsidP="00F47B85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F47B85" w:rsidRDefault="00F47B85" w:rsidP="00F47B85"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 w:rsidR="00F47B85" w:rsidRDefault="00F47B85" w:rsidP="00F47B85">
      <w:pPr>
        <w:pStyle w:val="1"/>
        <w:adjustRightInd w:val="0"/>
        <w:snapToGrid w:val="0"/>
        <w:spacing w:line="288" w:lineRule="auto"/>
        <w:ind w:left="-4" w:firstLineChars="0" w:firstLine="0"/>
        <w:rPr>
          <w:b/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F47B85" w:rsidRDefault="0043030B" w:rsidP="00F47B85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47B85">
        <w:rPr>
          <w:b/>
          <w:kern w:val="0"/>
        </w:rPr>
        <w:t>居住建筑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474"/>
        <w:gridCol w:w="2035"/>
        <w:gridCol w:w="1508"/>
        <w:gridCol w:w="1505"/>
      </w:tblGrid>
      <w:tr w:rsidR="00F47B85" w:rsidTr="00C2581F">
        <w:trPr>
          <w:trHeight w:val="340"/>
          <w:jc w:val="center"/>
        </w:trPr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评价分值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自评得分</w:t>
            </w:r>
          </w:p>
        </w:tc>
      </w:tr>
      <w:tr w:rsidR="00F47B85" w:rsidTr="00C2581F">
        <w:trPr>
          <w:trHeight w:val="340"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卧室、起居室的窗地面积比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达到</w:t>
            </w:r>
            <w:r>
              <w:rPr>
                <w:sz w:val="21"/>
                <w:szCs w:val="21"/>
              </w:rPr>
              <w:t>1/6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达到</w:t>
            </w:r>
            <w:r>
              <w:rPr>
                <w:sz w:val="21"/>
                <w:szCs w:val="21"/>
              </w:rPr>
              <w:t>1/5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kern w:val="44"/>
                <w:sz w:val="18"/>
                <w:szCs w:val="18"/>
              </w:rPr>
            </w:pPr>
          </w:p>
        </w:tc>
      </w:tr>
    </w:tbl>
    <w:p w:rsidR="00F47B85" w:rsidRDefault="00F47B85" w:rsidP="00F47B85">
      <w:pPr>
        <w:spacing w:line="288" w:lineRule="auto"/>
        <w:rPr>
          <w:b/>
          <w:bCs/>
          <w:lang w:val="zh-CN"/>
        </w:rPr>
      </w:pPr>
    </w:p>
    <w:p w:rsidR="00F47B85" w:rsidRDefault="0043030B" w:rsidP="00F47B85"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-12351499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47B85">
        <w:rPr>
          <w:b/>
          <w:bCs/>
          <w:lang w:val="zh-CN"/>
        </w:rPr>
        <w:t>公共建筑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556"/>
        <w:gridCol w:w="1974"/>
        <w:gridCol w:w="1496"/>
        <w:gridCol w:w="1496"/>
      </w:tblGrid>
      <w:tr w:rsidR="00F47B85" w:rsidTr="00C2581F">
        <w:trPr>
          <w:trHeight w:val="340"/>
          <w:jc w:val="center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评价分值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自评得分</w:t>
            </w:r>
          </w:p>
        </w:tc>
      </w:tr>
      <w:tr w:rsidR="00F47B85" w:rsidTr="00C2581F">
        <w:trPr>
          <w:trHeight w:val="340"/>
          <w:jc w:val="center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主要功能房间采光系数满足现行国家标准《建筑采光设计标准》</w:t>
            </w:r>
            <w:r>
              <w:rPr>
                <w:bCs/>
                <w:sz w:val="21"/>
                <w:szCs w:val="21"/>
              </w:rPr>
              <w:t>GB50033</w:t>
            </w:r>
            <w:r>
              <w:rPr>
                <w:rFonts w:hint="eastAsia"/>
                <w:bCs/>
                <w:sz w:val="21"/>
                <w:szCs w:val="21"/>
              </w:rPr>
              <w:t>要求的面积比例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60%</w:t>
            </w:r>
            <w:r>
              <w:rPr>
                <w:rFonts w:eastAsiaTheme="minorEastAsia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65%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65%</w:t>
            </w:r>
            <w:r>
              <w:rPr>
                <w:rFonts w:eastAsiaTheme="minorEastAsia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70%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70%</w:t>
            </w:r>
            <w:r>
              <w:rPr>
                <w:rFonts w:eastAsiaTheme="minorEastAsia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75%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3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i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75%</w:t>
            </w:r>
            <w:r>
              <w:rPr>
                <w:rFonts w:eastAsiaTheme="minorEastAsia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80%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3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/>
                <w:bCs/>
                <w:i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i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sz w:val="21"/>
                <w:szCs w:val="21"/>
              </w:rPr>
              <w:t>80%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pStyle w:val="a6"/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5" w:rsidRDefault="00F47B85" w:rsidP="00C2581F">
            <w:pPr>
              <w:pStyle w:val="a6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</w:tbl>
    <w:p w:rsidR="00F47B85" w:rsidRDefault="00F47B85" w:rsidP="00F47B85">
      <w:pPr>
        <w:spacing w:line="288" w:lineRule="auto"/>
        <w:rPr>
          <w:b/>
          <w:szCs w:val="21"/>
        </w:rPr>
      </w:pPr>
    </w:p>
    <w:p w:rsidR="00F47B85" w:rsidRDefault="00F47B85" w:rsidP="00F47B85">
      <w:pPr>
        <w:pStyle w:val="1"/>
        <w:adjustRightInd w:val="0"/>
        <w:snapToGrid w:val="0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F47B85" w:rsidRDefault="00F47B85" w:rsidP="00F47B85">
      <w:pPr>
        <w:pStyle w:val="a6"/>
        <w:spacing w:line="288" w:lineRule="auto"/>
        <w:ind w:left="-54" w:hanging="55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</w:t>
      </w:r>
      <w:r>
        <w:rPr>
          <w:rFonts w:hint="eastAsia"/>
          <w:sz w:val="21"/>
          <w:szCs w:val="21"/>
        </w:rPr>
        <w:t>四川省</w:t>
      </w:r>
      <w:r>
        <w:rPr>
          <w:rFonts w:hint="eastAsia"/>
          <w:sz w:val="21"/>
          <w:szCs w:val="21"/>
        </w:rPr>
        <w:t>X</w:t>
      </w:r>
      <w:r>
        <w:rPr>
          <w:sz w:val="21"/>
          <w:szCs w:val="21"/>
        </w:rPr>
        <w:t>XX</w:t>
      </w:r>
      <w:r>
        <w:rPr>
          <w:rFonts w:hint="eastAsia"/>
          <w:sz w:val="21"/>
          <w:szCs w:val="21"/>
        </w:rPr>
        <w:t>市</w:t>
      </w:r>
      <w:r>
        <w:rPr>
          <w:sz w:val="21"/>
          <w:szCs w:val="21"/>
        </w:rPr>
        <w:t>，处于</w:t>
      </w:r>
      <w:r>
        <w:rPr>
          <w:sz w:val="21"/>
          <w:szCs w:val="21"/>
        </w:rPr>
        <w:t>__</w:t>
      </w:r>
      <w:r>
        <w:rPr>
          <w:sz w:val="21"/>
          <w:szCs w:val="21"/>
        </w:rPr>
        <w:t>类光气候区</w:t>
      </w:r>
      <w:r>
        <w:rPr>
          <w:rFonts w:hint="eastAsia"/>
          <w:sz w:val="21"/>
          <w:szCs w:val="21"/>
        </w:rPr>
        <w:t>。</w:t>
      </w:r>
    </w:p>
    <w:p w:rsidR="00F47B85" w:rsidRDefault="00F47B85" w:rsidP="00F47B85">
      <w:pPr>
        <w:pStyle w:val="a6"/>
        <w:spacing w:line="288" w:lineRule="auto"/>
        <w:ind w:left="-54" w:hanging="55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居住建筑</w:t>
      </w:r>
    </w:p>
    <w:p w:rsidR="00F47B85" w:rsidRDefault="0043030B" w:rsidP="00F47B85">
      <w:pPr>
        <w:pStyle w:val="a6"/>
        <w:spacing w:line="288" w:lineRule="auto"/>
        <w:ind w:left="-54" w:hanging="55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-9530162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47B85">
        <w:rPr>
          <w:sz w:val="21"/>
          <w:szCs w:val="21"/>
        </w:rPr>
        <w:t>主要功能房间窗地面积比统计表</w:t>
      </w:r>
      <w:r w:rsidR="00F47B85">
        <w:rPr>
          <w:rFonts w:hint="eastAsia"/>
          <w:sz w:val="21"/>
          <w:szCs w:val="21"/>
        </w:rPr>
        <w:t>:</w:t>
      </w:r>
    </w:p>
    <w:p w:rsidR="00F47B85" w:rsidRDefault="00F47B85" w:rsidP="00F47B85">
      <w:pPr>
        <w:pStyle w:val="a6"/>
        <w:spacing w:line="288" w:lineRule="auto"/>
        <w:ind w:left="-54" w:hanging="55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以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例</w:t>
      </w:r>
      <w:r>
        <w:rPr>
          <w:rFonts w:hint="eastAsia"/>
          <w:sz w:val="21"/>
          <w:szCs w:val="21"/>
        </w:rPr>
        <w:t>：</w:t>
      </w:r>
    </w:p>
    <w:tbl>
      <w:tblPr>
        <w:tblW w:w="85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223"/>
        <w:gridCol w:w="1684"/>
        <w:gridCol w:w="1684"/>
        <w:gridCol w:w="1412"/>
        <w:gridCol w:w="1371"/>
      </w:tblGrid>
      <w:tr w:rsidR="00F47B85" w:rsidTr="00C2581F">
        <w:trPr>
          <w:cantSplit/>
          <w:trHeight w:val="312"/>
        </w:trPr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采光等级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外窗类型（侧窗、矩形天窗、锯齿形天窗、平天窗）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窗地面积比</w:t>
            </w: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  <w:r>
              <w:rPr>
                <w:rFonts w:hint="eastAsia"/>
              </w:rPr>
              <w:t>标准要求</w:t>
            </w:r>
          </w:p>
        </w:tc>
      </w:tr>
      <w:tr w:rsidR="00F47B85" w:rsidTr="00C2581F">
        <w:trPr>
          <w:cantSplit/>
          <w:trHeight w:val="321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  <w:tr w:rsidR="00F47B85" w:rsidTr="00C2581F">
        <w:trPr>
          <w:cantSplit/>
          <w:trHeight w:val="312"/>
        </w:trPr>
        <w:tc>
          <w:tcPr>
            <w:tcW w:w="12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widowControl/>
              <w:jc w:val="center"/>
            </w:pPr>
          </w:p>
        </w:tc>
      </w:tr>
    </w:tbl>
    <w:p w:rsidR="00F47B85" w:rsidRDefault="00F47B85" w:rsidP="00F47B85">
      <w:pPr>
        <w:pStyle w:val="a6"/>
        <w:spacing w:line="288" w:lineRule="auto"/>
        <w:ind w:leftChars="-202" w:left="-54" w:hangingChars="176" w:hanging="370"/>
        <w:outlineLvl w:val="9"/>
        <w:rPr>
          <w:sz w:val="21"/>
          <w:szCs w:val="21"/>
        </w:rPr>
      </w:pPr>
    </w:p>
    <w:p w:rsidR="00F47B85" w:rsidRDefault="0043030B" w:rsidP="00F47B85">
      <w:pPr>
        <w:pStyle w:val="a6"/>
        <w:spacing w:line="288" w:lineRule="auto"/>
        <w:ind w:left="-54" w:hanging="55"/>
        <w:outlineLvl w:val="9"/>
        <w:rPr>
          <w:b/>
          <w:szCs w:val="21"/>
        </w:rPr>
      </w:pPr>
      <w:sdt>
        <w:sdtPr>
          <w:rPr>
            <w:b/>
            <w:bCs/>
            <w:szCs w:val="21"/>
            <w:lang w:val="zh-CN"/>
          </w:rPr>
          <w:id w:val="-1077494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F47B85">
        <w:rPr>
          <w:b/>
          <w:sz w:val="21"/>
          <w:szCs w:val="21"/>
        </w:rPr>
        <w:t>公共建筑</w:t>
      </w:r>
    </w:p>
    <w:p w:rsidR="00F47B85" w:rsidRDefault="00F47B85" w:rsidP="00F47B85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主要功能房间采光系数统计表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475"/>
        <w:gridCol w:w="2476"/>
        <w:gridCol w:w="2134"/>
      </w:tblGrid>
      <w:tr w:rsidR="00F47B85" w:rsidTr="00C2581F">
        <w:trPr>
          <w:trHeight w:val="234"/>
          <w:tblHeader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分析区域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主要功能空间面积（</w:t>
            </w:r>
            <w:r>
              <w:rPr>
                <w:bCs/>
                <w:szCs w:val="21"/>
              </w:rPr>
              <w:t>m</w:t>
            </w:r>
            <w:r>
              <w:rPr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天然采光达标面积（</w:t>
            </w:r>
            <w:r>
              <w:rPr>
                <w:bCs/>
                <w:szCs w:val="21"/>
              </w:rPr>
              <w:t>m</w:t>
            </w:r>
            <w:r>
              <w:rPr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天然采光达标比例（</w:t>
            </w:r>
            <w:r>
              <w:rPr>
                <w:bCs/>
                <w:szCs w:val="21"/>
              </w:rPr>
              <w:t>%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F47B85" w:rsidTr="00C2581F">
        <w:trPr>
          <w:trHeight w:val="340"/>
          <w:jc w:val="center"/>
        </w:trPr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</w:tr>
      <w:tr w:rsidR="00F47B85" w:rsidTr="00C2581F">
        <w:trPr>
          <w:trHeight w:val="340"/>
          <w:jc w:val="center"/>
        </w:trPr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B85" w:rsidRDefault="00F47B85" w:rsidP="00C2581F">
            <w:pPr>
              <w:jc w:val="center"/>
              <w:rPr>
                <w:bCs/>
                <w:szCs w:val="21"/>
              </w:rPr>
            </w:pPr>
          </w:p>
        </w:tc>
      </w:tr>
    </w:tbl>
    <w:p w:rsidR="00F47B85" w:rsidRDefault="00F47B85" w:rsidP="00F47B85">
      <w:pPr>
        <w:pStyle w:val="1"/>
        <w:adjustRightInd w:val="0"/>
        <w:snapToGrid w:val="0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F47B85" w:rsidRDefault="00F47B85" w:rsidP="00F47B85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lang w:val="zh-CN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F47B85" w:rsidRDefault="00F47B85" w:rsidP="00F47B85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建筑平面图：应体现不同户型的房间布局、窗户的相对位置；</w:t>
      </w:r>
    </w:p>
    <w:p w:rsidR="00F47B85" w:rsidRDefault="00F47B85" w:rsidP="00F47B85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建筑立面图和门窗表：应体现窗户的位置及尺寸；</w:t>
      </w:r>
    </w:p>
    <w:p w:rsidR="00F47B85" w:rsidRDefault="00F47B85" w:rsidP="00F47B85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窗地面积比计算书：</w:t>
      </w:r>
      <w:r>
        <w:rPr>
          <w:rFonts w:hint="eastAsia"/>
          <w:szCs w:val="21"/>
          <w:lang w:val="zh-CN"/>
        </w:rPr>
        <w:t>对于居住建筑，</w:t>
      </w:r>
      <w:r>
        <w:rPr>
          <w:szCs w:val="21"/>
          <w:lang w:val="zh-CN"/>
        </w:rPr>
        <w:t>应有各典型户型内各空间的窗地面积比例计算过程，并与图纸一致</w:t>
      </w:r>
      <w:r>
        <w:rPr>
          <w:rFonts w:hint="eastAsia"/>
          <w:szCs w:val="21"/>
          <w:lang w:val="zh-CN"/>
        </w:rPr>
        <w:t>；</w:t>
      </w:r>
    </w:p>
    <w:p w:rsidR="00F47B85" w:rsidRDefault="00F47B85" w:rsidP="00F47B85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自然采光模拟分析报告：对于公共建筑，应说明模拟软件名称及版本、模拟边界条件设定，网格设计，工作面、材料的光学参数、模拟结果、室外建筑物或构筑物情况、室外地面反射率等，应对各层主要功能房间天然采光达标的面积进行统计。</w:t>
      </w:r>
    </w:p>
    <w:p w:rsidR="00F47B85" w:rsidRDefault="00F47B85" w:rsidP="00F47B85">
      <w:pPr>
        <w:pStyle w:val="a6"/>
        <w:tabs>
          <w:tab w:val="left" w:pos="0"/>
        </w:tabs>
        <w:spacing w:line="288" w:lineRule="auto"/>
        <w:ind w:leftChars="8" w:left="17"/>
        <w:outlineLvl w:val="9"/>
        <w:rPr>
          <w:b/>
          <w:sz w:val="21"/>
          <w:szCs w:val="21"/>
        </w:rPr>
      </w:pPr>
    </w:p>
    <w:p w:rsidR="00F47B85" w:rsidRDefault="00F47B85" w:rsidP="00F47B85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7"/>
      </w:tblGrid>
      <w:tr w:rsidR="00F47B85" w:rsidTr="00C2581F">
        <w:trPr>
          <w:cantSplit/>
          <w:trHeight w:val="1704"/>
          <w:jc w:val="center"/>
        </w:trPr>
        <w:tc>
          <w:tcPr>
            <w:tcW w:w="8417" w:type="dxa"/>
          </w:tcPr>
          <w:p w:rsidR="00F47B85" w:rsidRDefault="00F47B85" w:rsidP="00C2581F">
            <w:pPr>
              <w:spacing w:line="288" w:lineRule="auto"/>
              <w:rPr>
                <w:szCs w:val="21"/>
              </w:rPr>
            </w:pPr>
          </w:p>
          <w:p w:rsidR="00F47B85" w:rsidRDefault="00F47B85" w:rsidP="00C2581F">
            <w:pPr>
              <w:spacing w:line="288" w:lineRule="auto"/>
              <w:rPr>
                <w:szCs w:val="21"/>
              </w:rPr>
            </w:pPr>
          </w:p>
          <w:p w:rsidR="00F47B85" w:rsidRDefault="00F47B85" w:rsidP="00C2581F">
            <w:pPr>
              <w:spacing w:line="288" w:lineRule="auto"/>
              <w:rPr>
                <w:szCs w:val="21"/>
              </w:rPr>
            </w:pPr>
          </w:p>
          <w:p w:rsidR="00F47B85" w:rsidRDefault="00F47B85" w:rsidP="00C2581F">
            <w:pPr>
              <w:spacing w:line="288" w:lineRule="auto"/>
              <w:rPr>
                <w:szCs w:val="21"/>
              </w:rPr>
            </w:pPr>
          </w:p>
          <w:p w:rsidR="00F47B85" w:rsidRDefault="00F47B85" w:rsidP="00C2581F">
            <w:pPr>
              <w:spacing w:line="288" w:lineRule="auto"/>
              <w:rPr>
                <w:szCs w:val="21"/>
              </w:rPr>
            </w:pPr>
          </w:p>
        </w:tc>
      </w:tr>
    </w:tbl>
    <w:p w:rsidR="003E035D" w:rsidRPr="00F47B85" w:rsidRDefault="003E035D"/>
    <w:sectPr w:rsidR="003E035D" w:rsidRPr="00F4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29" w:rsidRDefault="008B7529" w:rsidP="00F47B85">
      <w:r>
        <w:separator/>
      </w:r>
    </w:p>
  </w:endnote>
  <w:endnote w:type="continuationSeparator" w:id="0">
    <w:p w:rsidR="008B7529" w:rsidRDefault="008B7529" w:rsidP="00F4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29" w:rsidRDefault="008B7529" w:rsidP="00F47B85">
      <w:r>
        <w:separator/>
      </w:r>
    </w:p>
  </w:footnote>
  <w:footnote w:type="continuationSeparator" w:id="0">
    <w:p w:rsidR="008B7529" w:rsidRDefault="008B7529" w:rsidP="00F4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C6982"/>
    <w:multiLevelType w:val="multilevel"/>
    <w:tmpl w:val="708C6982"/>
    <w:lvl w:ilvl="0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C4"/>
    <w:rsid w:val="003E035D"/>
    <w:rsid w:val="0043030B"/>
    <w:rsid w:val="008B7529"/>
    <w:rsid w:val="00A234C4"/>
    <w:rsid w:val="00B62E8C"/>
    <w:rsid w:val="00F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D1C88B-69D9-4585-8550-0806EB3F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47B8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B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B8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47B85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F47B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F47B85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F47B85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F47B8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2019-10-22T01:35:00Z</dcterms:created>
  <dcterms:modified xsi:type="dcterms:W3CDTF">2019-11-07T06:06:00Z</dcterms:modified>
</cp:coreProperties>
</file>