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D3A7" w14:textId="77777777" w:rsidR="009748B2" w:rsidRDefault="009748B2" w:rsidP="009748B2">
      <w:pPr>
        <w:pStyle w:val="3"/>
        <w:spacing w:line="288" w:lineRule="auto"/>
      </w:pPr>
      <w:r>
        <w:t>4.1.4</w:t>
      </w:r>
      <w:r>
        <w:rPr>
          <w:rFonts w:hint="eastAsia"/>
        </w:rPr>
        <w:t>建筑内部的非结构件、设备及附属设施等应连接牢固并能适应主体结构变形。</w:t>
      </w:r>
    </w:p>
    <w:p w14:paraId="7B6B5D2B" w14:textId="77777777" w:rsidR="009748B2" w:rsidRDefault="009748B2" w:rsidP="009748B2">
      <w:pPr>
        <w:numPr>
          <w:ilvl w:val="0"/>
          <w:numId w:val="2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60E240F7" w14:textId="77777777" w:rsidR="009748B2" w:rsidRDefault="009748B2" w:rsidP="009748B2">
      <w:pPr>
        <w:spacing w:line="288" w:lineRule="auto"/>
        <w:rPr>
          <w:rFonts w:ascii="宋体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达标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不达标</w:t>
      </w:r>
    </w:p>
    <w:p w14:paraId="62E337CB" w14:textId="77777777" w:rsidR="009748B2" w:rsidRDefault="009748B2" w:rsidP="009748B2">
      <w:pPr>
        <w:spacing w:line="288" w:lineRule="auto"/>
        <w:rPr>
          <w:szCs w:val="21"/>
        </w:rPr>
      </w:pPr>
    </w:p>
    <w:p w14:paraId="41E04E72" w14:textId="77777777" w:rsidR="009748B2" w:rsidRDefault="009748B2" w:rsidP="009748B2">
      <w:pPr>
        <w:numPr>
          <w:ilvl w:val="0"/>
          <w:numId w:val="2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552E543D" w14:textId="77777777" w:rsidR="009748B2" w:rsidRDefault="009748B2" w:rsidP="009748B2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是否采取适应主体结构变形的措施</w:t>
      </w:r>
    </w:p>
    <w:p w14:paraId="6D62866B" w14:textId="77777777" w:rsidR="009748B2" w:rsidRDefault="009748B2" w:rsidP="00974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对非结构构件的填充墙：</w:t>
      </w:r>
    </w:p>
    <w:p w14:paraId="77CBA40A" w14:textId="77777777" w:rsidR="009748B2" w:rsidRDefault="009748B2" w:rsidP="009748B2">
      <w:pPr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墙高超过一定高度与长度即设</w:t>
      </w:r>
      <w:proofErr w:type="gramStart"/>
      <w:r>
        <w:rPr>
          <w:rFonts w:hint="eastAsia"/>
        </w:rPr>
        <w:t>腰梁及</w:t>
      </w:r>
      <w:proofErr w:type="gramEnd"/>
      <w:r>
        <w:rPr>
          <w:rFonts w:hint="eastAsia"/>
        </w:rPr>
        <w:t>构造柱，与结构柱之间设拉接</w:t>
      </w:r>
      <w:proofErr w:type="gramStart"/>
      <w:r>
        <w:rPr>
          <w:rFonts w:hint="eastAsia"/>
        </w:rPr>
        <w:t>筋</w:t>
      </w:r>
      <w:proofErr w:type="gramEnd"/>
    </w:p>
    <w:p w14:paraId="5A61067F" w14:textId="77777777" w:rsidR="009748B2" w:rsidRDefault="009748B2" w:rsidP="009748B2">
      <w:pPr>
        <w:spacing w:line="288" w:lineRule="auto"/>
        <w:rPr>
          <w:rFonts w:ascii="宋体"/>
          <w:bCs/>
          <w:szCs w:val="21"/>
          <w:lang w:val="zh-CN"/>
        </w:rPr>
      </w:pPr>
      <w:r>
        <w:rPr>
          <w:rFonts w:ascii="宋体" w:hint="eastAsia"/>
          <w:bCs/>
          <w:szCs w:val="21"/>
          <w:lang w:val="zh-CN"/>
        </w:rPr>
        <w:t>对非结构构件的装配式内墙条板：</w:t>
      </w:r>
    </w:p>
    <w:p w14:paraId="57432182" w14:textId="77777777" w:rsidR="009748B2" w:rsidRDefault="009748B2" w:rsidP="009748B2">
      <w:pPr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int="eastAsia"/>
          <w:bCs/>
          <w:szCs w:val="21"/>
          <w:lang w:val="zh-CN"/>
        </w:rPr>
        <w:t>在楼面与梁</w:t>
      </w:r>
      <w:r>
        <w:rPr>
          <w:rFonts w:ascii="宋体"/>
          <w:bCs/>
          <w:szCs w:val="21"/>
          <w:lang w:val="zh-CN"/>
        </w:rPr>
        <w:t>(</w:t>
      </w:r>
      <w:r>
        <w:rPr>
          <w:rFonts w:ascii="宋体" w:hint="eastAsia"/>
          <w:bCs/>
          <w:szCs w:val="21"/>
          <w:lang w:val="zh-CN"/>
        </w:rPr>
        <w:t>板</w:t>
      </w:r>
      <w:r>
        <w:rPr>
          <w:rFonts w:ascii="宋体"/>
          <w:bCs/>
          <w:szCs w:val="21"/>
          <w:lang w:val="zh-CN"/>
        </w:rPr>
        <w:t>)</w:t>
      </w:r>
      <w:r>
        <w:rPr>
          <w:rFonts w:ascii="宋体" w:hint="eastAsia"/>
          <w:bCs/>
          <w:szCs w:val="21"/>
          <w:lang w:val="zh-CN"/>
        </w:rPr>
        <w:t>底连接处设金属限位连接卡</w:t>
      </w:r>
      <w:r>
        <w:rPr>
          <w:rFonts w:hint="eastAsia"/>
          <w:lang w:val="zh-CN"/>
        </w:rPr>
        <w:t>，墙板之间设子母槽等</w:t>
      </w:r>
    </w:p>
    <w:p w14:paraId="45695D3B" w14:textId="77777777" w:rsidR="009748B2" w:rsidRDefault="009748B2" w:rsidP="009748B2"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hint="eastAsia"/>
          <w:lang w:val="zh-CN"/>
        </w:rPr>
        <w:t>对非结构构件的移动式档案密集柜：</w:t>
      </w:r>
    </w:p>
    <w:p w14:paraId="762A7493" w14:textId="77777777" w:rsidR="009748B2" w:rsidRDefault="009748B2" w:rsidP="009748B2">
      <w:pPr>
        <w:spacing w:line="288" w:lineRule="auto"/>
        <w:rPr>
          <w:rFonts w:ascii="宋体"/>
          <w:bCs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int="eastAsia"/>
          <w:bCs/>
          <w:szCs w:val="21"/>
          <w:lang w:val="zh-CN"/>
        </w:rPr>
        <w:t>楼面刚度足以避免移动档案柜脱轨</w:t>
      </w:r>
    </w:p>
    <w:p w14:paraId="55C72AEE" w14:textId="77777777" w:rsidR="009748B2" w:rsidRDefault="009748B2" w:rsidP="009748B2">
      <w:pPr>
        <w:spacing w:line="288" w:lineRule="auto"/>
        <w:rPr>
          <w:lang w:val="zh-CN"/>
        </w:rPr>
      </w:pPr>
      <w:r>
        <w:rPr>
          <w:rFonts w:ascii="宋体" w:hint="eastAsia"/>
          <w:bCs/>
          <w:szCs w:val="21"/>
          <w:lang w:val="zh-CN"/>
        </w:rPr>
        <w:t>建筑部品、非结构构件及附属设备与建筑主体的连接方式：</w:t>
      </w:r>
    </w:p>
    <w:p w14:paraId="54C6CC4B" w14:textId="77777777" w:rsidR="009748B2" w:rsidRDefault="009748B2" w:rsidP="009748B2">
      <w:pPr>
        <w:spacing w:line="288" w:lineRule="auto"/>
        <w:rPr>
          <w:rFonts w:ascii="宋体"/>
          <w:bCs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机械固定、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焊接、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预埋、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一体化建造、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以上皆无</w:t>
      </w:r>
    </w:p>
    <w:p w14:paraId="69983F4C" w14:textId="77777777" w:rsidR="009748B2" w:rsidRDefault="009748B2" w:rsidP="009748B2">
      <w:pPr>
        <w:numPr>
          <w:ilvl w:val="0"/>
          <w:numId w:val="2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10C12F96" w14:textId="77777777" w:rsidR="009748B2" w:rsidRDefault="009748B2" w:rsidP="009748B2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9748B2" w14:paraId="31A9C64F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5353" w14:textId="77777777" w:rsidR="009748B2" w:rsidRDefault="009748B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7C16" w14:textId="77777777" w:rsidR="009748B2" w:rsidRDefault="009748B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FECE" w14:textId="77777777" w:rsidR="009748B2" w:rsidRDefault="009748B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021F" w14:textId="77777777" w:rsidR="009748B2" w:rsidRDefault="009748B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5D63E93" w14:textId="77777777" w:rsidR="009748B2" w:rsidRDefault="009748B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42AD" w14:textId="77777777" w:rsidR="009748B2" w:rsidRDefault="009748B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748B2" w14:paraId="5C7FE4C2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987E9" w14:textId="77777777" w:rsidR="009748B2" w:rsidRDefault="009748B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CCDD" w14:textId="77777777" w:rsidR="009748B2" w:rsidRDefault="009748B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结构设计总说明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FE3E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体现非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结构构件和主体构件的连接情况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870F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3213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748B2" w14:paraId="200C4754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7C8DC" w14:textId="77777777" w:rsidR="009748B2" w:rsidRDefault="009748B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665A" w14:textId="77777777" w:rsidR="009748B2" w:rsidRDefault="009748B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关键连接构件计算书、施工图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08102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应包括关键连接构件的位置、功能介绍、承载力和稳定性大小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1FC4D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CFE4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748B2" w14:paraId="544DB21E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1931C4" w14:textId="77777777" w:rsidR="009748B2" w:rsidRDefault="009748B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F448" w14:textId="77777777" w:rsidR="009748B2" w:rsidRDefault="009748B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主要构件连接能力检测报告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6452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应包括关键连接构件的承载力和稳定性大小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627F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91A1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9748B2" w14:paraId="19ACB5B1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70091" w14:textId="77777777" w:rsidR="009748B2" w:rsidRDefault="009748B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8215" w14:textId="77777777" w:rsidR="009748B2" w:rsidRDefault="009748B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设备及附属设施布置图及设计说明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3D70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应体现设备及附属设施的位置、尺寸、构造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DB69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F304C" w14:textId="77777777" w:rsidR="009748B2" w:rsidRDefault="009748B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11C3183A" w14:textId="77777777" w:rsidR="009748B2" w:rsidRDefault="009748B2" w:rsidP="009748B2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9748B2" w14:paraId="02A1ED28" w14:textId="77777777" w:rsidTr="005F0C33">
        <w:trPr>
          <w:trHeight w:val="1517"/>
        </w:trPr>
        <w:tc>
          <w:tcPr>
            <w:tcW w:w="8330" w:type="dxa"/>
          </w:tcPr>
          <w:p w14:paraId="04852325" w14:textId="77777777" w:rsidR="009748B2" w:rsidRDefault="009748B2" w:rsidP="004F75E4">
            <w:pPr>
              <w:spacing w:line="288" w:lineRule="auto"/>
            </w:pPr>
          </w:p>
        </w:tc>
      </w:tr>
    </w:tbl>
    <w:p w14:paraId="1913B92D" w14:textId="77777777" w:rsidR="00250546" w:rsidRPr="009748B2" w:rsidRDefault="00250546" w:rsidP="009748B2"/>
    <w:sectPr w:rsidR="00250546" w:rsidRPr="00974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92BF" w14:textId="77777777" w:rsidR="008F3C68" w:rsidRDefault="008F3C68" w:rsidP="00F934F5">
      <w:r>
        <w:separator/>
      </w:r>
    </w:p>
  </w:endnote>
  <w:endnote w:type="continuationSeparator" w:id="0">
    <w:p w14:paraId="29AC846C" w14:textId="77777777" w:rsidR="008F3C68" w:rsidRDefault="008F3C68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61CE" w14:textId="77777777" w:rsidR="008F3C68" w:rsidRDefault="008F3C68" w:rsidP="00F934F5">
      <w:r>
        <w:separator/>
      </w:r>
    </w:p>
  </w:footnote>
  <w:footnote w:type="continuationSeparator" w:id="0">
    <w:p w14:paraId="6558A693" w14:textId="77777777" w:rsidR="008F3C68" w:rsidRDefault="008F3C68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82D493C"/>
    <w:multiLevelType w:val="multilevel"/>
    <w:tmpl w:val="382D493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3" w15:restartNumberingAfterBreak="0">
    <w:nsid w:val="4D905508"/>
    <w:multiLevelType w:val="multilevel"/>
    <w:tmpl w:val="4D90550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9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514997049">
    <w:abstractNumId w:val="5"/>
  </w:num>
  <w:num w:numId="2" w16cid:durableId="1971352431">
    <w:abstractNumId w:val="1"/>
  </w:num>
  <w:num w:numId="3" w16cid:durableId="1860896504">
    <w:abstractNumId w:val="18"/>
  </w:num>
  <w:num w:numId="4" w16cid:durableId="1132598918">
    <w:abstractNumId w:val="3"/>
  </w:num>
  <w:num w:numId="5" w16cid:durableId="91245955">
    <w:abstractNumId w:val="19"/>
  </w:num>
  <w:num w:numId="6" w16cid:durableId="255525927">
    <w:abstractNumId w:val="11"/>
  </w:num>
  <w:num w:numId="7" w16cid:durableId="985478506">
    <w:abstractNumId w:val="12"/>
  </w:num>
  <w:num w:numId="8" w16cid:durableId="1878274450">
    <w:abstractNumId w:val="16"/>
  </w:num>
  <w:num w:numId="9" w16cid:durableId="1194418754">
    <w:abstractNumId w:val="9"/>
  </w:num>
  <w:num w:numId="10" w16cid:durableId="1827475484">
    <w:abstractNumId w:val="0"/>
  </w:num>
  <w:num w:numId="11" w16cid:durableId="122697855">
    <w:abstractNumId w:val="17"/>
  </w:num>
  <w:num w:numId="12" w16cid:durableId="568082442">
    <w:abstractNumId w:val="2"/>
  </w:num>
  <w:num w:numId="13" w16cid:durableId="1004624894">
    <w:abstractNumId w:val="10"/>
  </w:num>
  <w:num w:numId="14" w16cid:durableId="1108621749">
    <w:abstractNumId w:val="6"/>
  </w:num>
  <w:num w:numId="15" w16cid:durableId="1985045720">
    <w:abstractNumId w:val="15"/>
  </w:num>
  <w:num w:numId="16" w16cid:durableId="426341719">
    <w:abstractNumId w:val="7"/>
  </w:num>
  <w:num w:numId="17" w16cid:durableId="1262882986">
    <w:abstractNumId w:val="4"/>
  </w:num>
  <w:num w:numId="18" w16cid:durableId="741568064">
    <w:abstractNumId w:val="14"/>
  </w:num>
  <w:num w:numId="19" w16cid:durableId="387338836">
    <w:abstractNumId w:val="8"/>
  </w:num>
  <w:num w:numId="20" w16cid:durableId="6376862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E7F64"/>
    <w:rsid w:val="00114B17"/>
    <w:rsid w:val="00136FBD"/>
    <w:rsid w:val="002342C5"/>
    <w:rsid w:val="00250546"/>
    <w:rsid w:val="0028276B"/>
    <w:rsid w:val="002A656B"/>
    <w:rsid w:val="002D3898"/>
    <w:rsid w:val="0045130A"/>
    <w:rsid w:val="00467ECD"/>
    <w:rsid w:val="00526CB8"/>
    <w:rsid w:val="005A7AED"/>
    <w:rsid w:val="005F0C33"/>
    <w:rsid w:val="00623770"/>
    <w:rsid w:val="006C5911"/>
    <w:rsid w:val="006F6B12"/>
    <w:rsid w:val="00771D52"/>
    <w:rsid w:val="00783368"/>
    <w:rsid w:val="00792594"/>
    <w:rsid w:val="007D6571"/>
    <w:rsid w:val="008042FB"/>
    <w:rsid w:val="0080792C"/>
    <w:rsid w:val="008E3E08"/>
    <w:rsid w:val="008F3C68"/>
    <w:rsid w:val="009748B2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D65CB"/>
    <w:rsid w:val="00CE339A"/>
    <w:rsid w:val="00D752BB"/>
    <w:rsid w:val="00E13A2F"/>
    <w:rsid w:val="00E177FC"/>
    <w:rsid w:val="00EA103D"/>
    <w:rsid w:val="00EE2E7E"/>
    <w:rsid w:val="00F306BB"/>
    <w:rsid w:val="00F7585B"/>
    <w:rsid w:val="00F934F5"/>
    <w:rsid w:val="00FC204F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8D8CB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28</cp:revision>
  <dcterms:created xsi:type="dcterms:W3CDTF">2022-09-08T02:10:00Z</dcterms:created>
  <dcterms:modified xsi:type="dcterms:W3CDTF">2022-10-20T08:09:00Z</dcterms:modified>
</cp:coreProperties>
</file>