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7A" w:rsidRPr="002A7ED7" w:rsidRDefault="0020077A" w:rsidP="0020077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7.2.2</w:t>
      </w:r>
      <w:r>
        <w:rPr>
          <w:rFonts w:hint="eastAsia"/>
          <w:sz w:val="24"/>
          <w:szCs w:val="40"/>
        </w:rPr>
        <w:t>合理开发利用地下空间。（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:rsidR="0020077A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20077A" w:rsidRPr="004F2CBC" w:rsidRDefault="0020077A" w:rsidP="0020077A">
      <w:pPr>
        <w:spacing w:line="288" w:lineRule="auto"/>
        <w:rPr>
          <w:rFonts w:ascii="Times New Roman" w:hAnsi="Times New Roman" w:cs="Times New Roman"/>
          <w:kern w:val="0"/>
        </w:rPr>
      </w:pPr>
      <w:r w:rsidRPr="004F2CBC">
        <w:rPr>
          <w:rFonts w:ascii="Times New Roman" w:hAnsi="Times New Roman" w:cs="Times New Roman"/>
        </w:rPr>
        <w:t>1</w:t>
      </w:r>
      <w:r w:rsidRPr="004F2CBC">
        <w:rPr>
          <w:rFonts w:ascii="Times New Roman" w:hAnsi="Times New Roman" w:cs="Times New Roman"/>
        </w:rPr>
        <w:t>）</w:t>
      </w:r>
      <w:r w:rsidRPr="004F2CBC">
        <w:rPr>
          <w:rFonts w:ascii="Times New Roman" w:hAnsi="Times New Roman" w:cs="Times New Roman"/>
          <w:kern w:val="0"/>
        </w:rPr>
        <w:t>居住建筑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26"/>
        <w:gridCol w:w="1984"/>
        <w:gridCol w:w="1701"/>
        <w:gridCol w:w="1318"/>
      </w:tblGrid>
      <w:tr w:rsidR="0020077A" w:rsidRPr="004F2CBC" w:rsidTr="005A4BEF">
        <w:trPr>
          <w:jc w:val="center"/>
        </w:trPr>
        <w:tc>
          <w:tcPr>
            <w:tcW w:w="709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20077A" w:rsidRPr="004F2CBC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0" w:name="_Toc9944748"/>
            <w:bookmarkStart w:id="1" w:name="_Toc9945028"/>
            <w:bookmarkStart w:id="2" w:name="_Toc9945172"/>
            <w:bookmarkStart w:id="3" w:name="_Toc9945314"/>
            <w:bookmarkStart w:id="4" w:name="_Toc9945455"/>
            <w:r w:rsidRPr="004F2CBC">
              <w:rPr>
                <w:rFonts w:ascii="Times New Roman" w:hAnsi="Times New Roman" w:cs="Times New Roman"/>
              </w:rPr>
              <w:t>地下建筑面积与地上建筑面积的比率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5" w:name="_Toc9944749"/>
            <w:bookmarkStart w:id="6" w:name="_Toc9945029"/>
            <w:bookmarkStart w:id="7" w:name="_Toc9945173"/>
            <w:bookmarkStart w:id="8" w:name="_Toc9945315"/>
            <w:bookmarkStart w:id="9" w:name="_Toc9945456"/>
            <w:r w:rsidRPr="004F2CBC">
              <w:rPr>
                <w:rFonts w:ascii="Times New Roman" w:hAnsi="Times New Roman" w:cs="Times New Roman"/>
              </w:rPr>
              <w:t>地下一层建筑面积与总用地面积的比率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4750"/>
            <w:bookmarkStart w:id="11" w:name="_Toc9945030"/>
            <w:bookmarkStart w:id="12" w:name="_Toc9945174"/>
            <w:bookmarkStart w:id="13" w:name="_Toc9945316"/>
            <w:bookmarkStart w:id="14" w:name="_Toc9945457"/>
            <w:r w:rsidRPr="004F2CBC">
              <w:rPr>
                <w:rFonts w:ascii="Times New Roman" w:hAnsi="Times New Roman" w:cs="Times New Roman"/>
              </w:rPr>
              <w:t>5%≤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4751"/>
            <w:bookmarkStart w:id="16" w:name="_Toc9945031"/>
            <w:bookmarkStart w:id="17" w:name="_Toc9945175"/>
            <w:bookmarkStart w:id="18" w:name="_Toc9945317"/>
            <w:bookmarkStart w:id="19" w:name="_Toc9945458"/>
            <w:r w:rsidRPr="004F2CBC"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jc w:val="center"/>
        </w:trPr>
        <w:tc>
          <w:tcPr>
            <w:tcW w:w="709" w:type="dxa"/>
            <w:vMerge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032"/>
            <w:bookmarkStart w:id="22" w:name="_Toc9945176"/>
            <w:bookmarkStart w:id="23" w:name="_Toc9945318"/>
            <w:bookmarkStart w:id="24" w:name="_Toc9945459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4753"/>
            <w:bookmarkStart w:id="26" w:name="_Toc9945033"/>
            <w:bookmarkStart w:id="27" w:name="_Toc9945177"/>
            <w:bookmarkStart w:id="28" w:name="_Toc9945319"/>
            <w:bookmarkStart w:id="29" w:name="_Toc9945460"/>
            <w:r w:rsidRPr="004F2CBC"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jc w:val="center"/>
        </w:trPr>
        <w:tc>
          <w:tcPr>
            <w:tcW w:w="709" w:type="dxa"/>
            <w:vMerge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034"/>
            <w:bookmarkStart w:id="32" w:name="_Toc9945178"/>
            <w:bookmarkStart w:id="33" w:name="_Toc9945320"/>
            <w:bookmarkStart w:id="34" w:name="_Toc9945461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r≥35%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035"/>
            <w:bookmarkStart w:id="37" w:name="_Toc9945179"/>
            <w:bookmarkStart w:id="38" w:name="_Toc9945321"/>
            <w:bookmarkStart w:id="39" w:name="_Toc9945462"/>
            <w:r w:rsidRPr="004F2CBC"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jc w:val="center"/>
        </w:trPr>
        <w:tc>
          <w:tcPr>
            <w:tcW w:w="709" w:type="dxa"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jc w:val="center"/>
        </w:trPr>
        <w:tc>
          <w:tcPr>
            <w:tcW w:w="4919" w:type="dxa"/>
            <w:gridSpan w:val="3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20077A" w:rsidRPr="004F2CBC" w:rsidRDefault="0020077A" w:rsidP="0020077A">
      <w:pPr>
        <w:spacing w:line="288" w:lineRule="auto"/>
        <w:rPr>
          <w:rFonts w:ascii="Times New Roman" w:hAnsi="Times New Roman" w:cs="Times New Roman"/>
        </w:rPr>
      </w:pPr>
      <w:r w:rsidRPr="004F2CBC">
        <w:rPr>
          <w:rFonts w:ascii="Times New Roman" w:hAnsi="Times New Roman" w:cs="Times New Roman" w:hint="eastAsia"/>
        </w:rPr>
        <w:t>2</w:t>
      </w:r>
      <w:r w:rsidRPr="004F2CBC">
        <w:rPr>
          <w:rFonts w:ascii="Times New Roman" w:hAnsi="Times New Roman" w:cs="Times New Roman" w:hint="eastAsia"/>
        </w:rPr>
        <w:t>）公共建筑</w:t>
      </w:r>
    </w:p>
    <w:tbl>
      <w:tblPr>
        <w:tblW w:w="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669"/>
        <w:gridCol w:w="1567"/>
        <w:gridCol w:w="1701"/>
        <w:gridCol w:w="1316"/>
      </w:tblGrid>
      <w:tr w:rsidR="0020077A" w:rsidRPr="004F2CBC" w:rsidTr="005A4BEF">
        <w:trPr>
          <w:jc w:val="center"/>
        </w:trPr>
        <w:tc>
          <w:tcPr>
            <w:tcW w:w="682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20077A" w:rsidRPr="004F2CBC" w:rsidTr="005A4BEF">
        <w:trPr>
          <w:jc w:val="center"/>
        </w:trPr>
        <w:tc>
          <w:tcPr>
            <w:tcW w:w="682" w:type="dxa"/>
            <w:vMerge w:val="restart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181"/>
            <w:bookmarkStart w:id="43" w:name="_Toc9945323"/>
            <w:bookmarkStart w:id="44" w:name="_Toc9945464"/>
            <w:r w:rsidRPr="004F2CBC">
              <w:rPr>
                <w:rFonts w:ascii="Times New Roman" w:hAnsi="Times New Roman" w:cs="Times New Roman"/>
              </w:rPr>
              <w:t>地下建筑面积与总用地面积之比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038"/>
            <w:bookmarkStart w:id="47" w:name="_Toc9945182"/>
            <w:bookmarkStart w:id="48" w:name="_Toc9945324"/>
            <w:bookmarkStart w:id="49" w:name="_Toc9945465"/>
            <w:r w:rsidRPr="004F2CBC">
              <w:rPr>
                <w:rFonts w:ascii="Times New Roman" w:hAnsi="Times New Roman" w:cs="Times New Roman"/>
              </w:rPr>
              <w:t>地下一层建筑面积与总用地面积的比率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4759"/>
            <w:bookmarkStart w:id="51" w:name="_Toc9945039"/>
            <w:bookmarkStart w:id="52" w:name="_Toc9945183"/>
            <w:bookmarkStart w:id="53" w:name="_Toc9945325"/>
            <w:bookmarkStart w:id="54" w:name="_Toc9945466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040"/>
            <w:bookmarkStart w:id="57" w:name="_Toc9945184"/>
            <w:bookmarkStart w:id="58" w:name="_Toc9945326"/>
            <w:bookmarkStart w:id="59" w:name="_Toc9945467"/>
            <w:r w:rsidRPr="004F2CBC"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trHeight w:val="365"/>
          <w:jc w:val="center"/>
        </w:trPr>
        <w:tc>
          <w:tcPr>
            <w:tcW w:w="682" w:type="dxa"/>
            <w:vMerge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4761"/>
            <w:bookmarkStart w:id="61" w:name="_Toc9945041"/>
            <w:bookmarkStart w:id="62" w:name="_Toc9945185"/>
            <w:bookmarkStart w:id="63" w:name="_Toc9945327"/>
            <w:bookmarkStart w:id="64" w:name="_Toc9945468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≥0.7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4762"/>
            <w:bookmarkStart w:id="66" w:name="_Toc9945042"/>
            <w:bookmarkStart w:id="67" w:name="_Toc9945186"/>
            <w:bookmarkStart w:id="68" w:name="_Toc9945328"/>
            <w:bookmarkStart w:id="69" w:name="_Toc9945469"/>
            <w:r w:rsidRPr="004F2CBC"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trHeight w:val="365"/>
          <w:jc w:val="center"/>
        </w:trPr>
        <w:tc>
          <w:tcPr>
            <w:tcW w:w="682" w:type="dxa"/>
            <w:vMerge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043"/>
            <w:bookmarkStart w:id="72" w:name="_Toc9945187"/>
            <w:bookmarkStart w:id="73" w:name="_Toc9945329"/>
            <w:bookmarkStart w:id="74" w:name="_Toc9945470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≥1.0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4764"/>
            <w:bookmarkStart w:id="76" w:name="_Toc9945044"/>
            <w:bookmarkStart w:id="77" w:name="_Toc9945188"/>
            <w:bookmarkStart w:id="78" w:name="_Toc9945330"/>
            <w:bookmarkStart w:id="79" w:name="_Toc9945471"/>
            <w:r w:rsidRPr="004F2CBC"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trHeight w:val="365"/>
          <w:jc w:val="center"/>
        </w:trPr>
        <w:tc>
          <w:tcPr>
            <w:tcW w:w="682" w:type="dxa"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 w:rsidR="0020077A" w:rsidRPr="004F2CBC" w:rsidRDefault="0020077A" w:rsidP="005A4BEF">
            <w:pPr>
              <w:pStyle w:val="a9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trHeight w:val="365"/>
          <w:jc w:val="center"/>
        </w:trPr>
        <w:tc>
          <w:tcPr>
            <w:tcW w:w="4918" w:type="dxa"/>
            <w:gridSpan w:val="3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1316" w:type="dxa"/>
                <w:vAlign w:val="center"/>
              </w:tcPr>
              <w:p w:rsidR="0020077A" w:rsidRPr="004F2CBC" w:rsidRDefault="0020077A" w:rsidP="005A4BEF">
                <w:pPr>
                  <w:pStyle w:val="a9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20077A" w:rsidRPr="00547320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0077A" w:rsidRPr="004F2CBC" w:rsidRDefault="0020077A" w:rsidP="00C80709">
      <w:pPr>
        <w:spacing w:line="360" w:lineRule="auto"/>
        <w:rPr>
          <w:rFonts w:ascii="Times New Roman" w:eastAsiaTheme="majorEastAsia" w:hAnsi="Times New Roman" w:cs="Times New Roman"/>
          <w:u w:val="single"/>
        </w:rPr>
      </w:pPr>
      <w:r w:rsidRPr="004F2CBC">
        <w:rPr>
          <w:rFonts w:ascii="Times New Roman" w:eastAsiaTheme="majorEastAsia" w:hAnsi="Times New Roman" w:cs="Times New Roman"/>
        </w:rPr>
        <w:t>地下空间主要功能为：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      </w:t>
      </w:r>
    </w:p>
    <w:p w:rsidR="0020077A" w:rsidRPr="004F2CBC" w:rsidRDefault="0020077A" w:rsidP="00C80709">
      <w:pPr>
        <w:spacing w:line="360" w:lineRule="auto"/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地上建筑面积：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71164082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  <w:r w:rsidRPr="004F2CBC">
        <w:rPr>
          <w:rFonts w:ascii="Times New Roman" w:eastAsiaTheme="majorEastAsia" w:hAnsi="Times New Roman" w:cs="Times New Roman"/>
        </w:rPr>
        <w:t>，地下建筑面积：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550222663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</w:p>
    <w:p w:rsidR="0020077A" w:rsidRPr="004F2CBC" w:rsidRDefault="0020077A" w:rsidP="00C80709">
      <w:pPr>
        <w:spacing w:line="360" w:lineRule="auto"/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地下一层建筑面积：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851946795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 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  <w:r w:rsidRPr="004F2CBC">
        <w:rPr>
          <w:rFonts w:ascii="Times New Roman" w:eastAsiaTheme="majorEastAsia" w:hAnsi="Times New Roman" w:cs="Times New Roman"/>
        </w:rPr>
        <w:t>，总用地面积：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318956709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   </w:t>
          </w:r>
        </w:sdtContent>
      </w:sdt>
      <w:r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</w:p>
    <w:p w:rsidR="0020077A" w:rsidRPr="004F2CBC" w:rsidRDefault="0020077A" w:rsidP="00C80709">
      <w:pPr>
        <w:spacing w:line="360" w:lineRule="auto"/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地下建筑面积与地上建筑面积的比率</w:t>
      </w:r>
      <w:r w:rsidRPr="004F2CBC">
        <w:rPr>
          <w:rFonts w:ascii="Times New Roman" w:eastAsiaTheme="majorEastAsia" w:hAnsi="Times New Roman" w:cs="Times New Roman"/>
          <w:i/>
        </w:rPr>
        <w:t>Rr</w:t>
      </w:r>
      <w:r w:rsidRPr="004F2CBC">
        <w:rPr>
          <w:rFonts w:ascii="Times New Roman" w:eastAsiaTheme="majorEastAsia" w:hAnsi="Times New Roman" w:cs="Times New Roman"/>
        </w:rPr>
        <w:t>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>
        <w:rPr>
          <w:rFonts w:ascii="Times New Roman" w:eastAsiaTheme="majorEastAsia" w:hAnsi="Times New Roman" w:cs="Times New Roman"/>
          <w:u w:val="single"/>
        </w:rPr>
        <w:t xml:space="preserve"> 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</w:t>
      </w:r>
      <w:r w:rsidRPr="004F2CBC">
        <w:rPr>
          <w:rFonts w:ascii="Times New Roman" w:eastAsiaTheme="majorEastAsia" w:hAnsi="Times New Roman" w:cs="Times New Roman"/>
        </w:rPr>
        <w:t>%</w:t>
      </w:r>
    </w:p>
    <w:p w:rsidR="0020077A" w:rsidRPr="004F2CBC" w:rsidRDefault="0020077A" w:rsidP="00C80709">
      <w:pPr>
        <w:spacing w:line="360" w:lineRule="auto"/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地下建筑面积与总用地面积的比率</w:t>
      </w:r>
      <w:r w:rsidRPr="004F2CBC">
        <w:rPr>
          <w:rFonts w:ascii="Times New Roman" w:eastAsiaTheme="majorEastAsia" w:hAnsi="Times New Roman" w:cs="Times New Roman"/>
          <w:i/>
        </w:rPr>
        <w:t>Rp1</w:t>
      </w:r>
      <w:r w:rsidRPr="004F2CBC">
        <w:rPr>
          <w:rFonts w:ascii="Times New Roman" w:eastAsiaTheme="majorEastAsia" w:hAnsi="Times New Roman" w:cs="Times New Roman"/>
        </w:rPr>
        <w:t>为：</w:t>
      </w:r>
      <w:r>
        <w:rPr>
          <w:rStyle w:val="10"/>
          <w:rFonts w:hint="eastAsia"/>
        </w:rPr>
        <w:t xml:space="preserve"> </w:t>
      </w:r>
      <w:r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</w:rPr>
        <w:t>%</w:t>
      </w:r>
    </w:p>
    <w:p w:rsidR="0020077A" w:rsidRPr="004F2CBC" w:rsidRDefault="0020077A" w:rsidP="00C80709">
      <w:pPr>
        <w:spacing w:line="360" w:lineRule="auto"/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地下一层建筑面积与总用地面积的比率</w:t>
      </w:r>
      <w:r w:rsidRPr="004F2CBC">
        <w:rPr>
          <w:rFonts w:ascii="Times New Roman" w:eastAsiaTheme="majorEastAsia" w:hAnsi="Times New Roman" w:cs="Times New Roman"/>
          <w:i/>
        </w:rPr>
        <w:t>Rp</w:t>
      </w:r>
      <w:r w:rsidRPr="004F2CBC">
        <w:rPr>
          <w:rFonts w:ascii="Times New Roman" w:eastAsiaTheme="majorEastAsia" w:hAnsi="Times New Roman" w:cs="Times New Roman"/>
        </w:rPr>
        <w:t>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</w:t>
      </w:r>
      <w:r w:rsidRPr="004F2CBC">
        <w:rPr>
          <w:rFonts w:ascii="Times New Roman" w:eastAsiaTheme="majorEastAsia" w:hAnsi="Times New Roman" w:cs="Times New Roman"/>
        </w:rPr>
        <w:t xml:space="preserve">%  </w:t>
      </w:r>
    </w:p>
    <w:p w:rsidR="0020077A" w:rsidRPr="004F2CBC" w:rsidRDefault="0020077A" w:rsidP="00C80709">
      <w:pPr>
        <w:spacing w:line="360" w:lineRule="auto"/>
        <w:rPr>
          <w:rFonts w:ascii="Times New Roman" w:eastAsiaTheme="majorEastAsia" w:hAnsi="Times New Roman" w:cs="Times New Roman"/>
          <w:szCs w:val="21"/>
        </w:rPr>
      </w:pPr>
      <w:r w:rsidRPr="004F2CBC">
        <w:rPr>
          <w:rFonts w:ascii="Times New Roman" w:eastAsiaTheme="majorEastAsia" w:hAnsi="Times New Roman" w:cs="Times New Roman"/>
        </w:rPr>
        <w:t>请简要说明地下空间开发利用情况。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0077A" w:rsidRPr="00547320" w:rsidTr="00BB79AF">
        <w:trPr>
          <w:trHeight w:val="2634"/>
          <w:jc w:val="center"/>
        </w:trPr>
        <w:tc>
          <w:tcPr>
            <w:tcW w:w="8272" w:type="dxa"/>
          </w:tcPr>
          <w:p w:rsidR="0020077A" w:rsidRDefault="003922B2" w:rsidP="003922B2">
            <w:pPr>
              <w:ind w:firstLineChars="200" w:firstLine="400"/>
              <w:rPr>
                <w:szCs w:val="21"/>
              </w:rPr>
            </w:pPr>
            <w:r w:rsidRPr="003922B2">
              <w:rPr>
                <w:rFonts w:hint="eastAsia"/>
                <w:szCs w:val="21"/>
              </w:rPr>
              <w:t>主楼地下为工具间，场区内绿地地下为机动车库，方便居民出行、节约土地资源。</w:t>
            </w:r>
          </w:p>
          <w:p w:rsidR="002815E2" w:rsidRDefault="002815E2" w:rsidP="003922B2">
            <w:pPr>
              <w:ind w:firstLineChars="200" w:firstLine="400"/>
              <w:rPr>
                <w:szCs w:val="21"/>
              </w:rPr>
            </w:pPr>
            <w:r w:rsidRPr="002815E2">
              <w:rPr>
                <w:rFonts w:hint="eastAsia"/>
                <w:szCs w:val="21"/>
              </w:rPr>
              <w:t>地下室为车库和水电设备用房，风雨操场。</w:t>
            </w:r>
          </w:p>
          <w:p w:rsidR="006F46AE" w:rsidRPr="006F46AE" w:rsidRDefault="006F46AE" w:rsidP="003922B2">
            <w:pPr>
              <w:ind w:firstLineChars="200" w:firstLine="400"/>
              <w:rPr>
                <w:szCs w:val="21"/>
              </w:rPr>
            </w:pPr>
            <w:r w:rsidRPr="006F46AE">
              <w:rPr>
                <w:rFonts w:hint="eastAsia"/>
                <w:szCs w:val="21"/>
              </w:rPr>
              <w:t>地下设备用房、变电室、消防水池泵房、生活水泵房等设备用房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20077A" w:rsidRPr="00547320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0077A" w:rsidRPr="00547320" w:rsidRDefault="0020077A" w:rsidP="00C8070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0077A" w:rsidRPr="00397117" w:rsidRDefault="0020077A" w:rsidP="00C80709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）建筑竣工图及设计说明；</w:t>
      </w:r>
    </w:p>
    <w:p w:rsidR="0020077A" w:rsidRPr="00397117" w:rsidRDefault="0020077A" w:rsidP="00C80709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）地下空间利用计算书；</w:t>
      </w:r>
    </w:p>
    <w:p w:rsidR="0020077A" w:rsidRDefault="0020077A" w:rsidP="00C80709">
      <w:pPr>
        <w:spacing w:line="360" w:lineRule="auto"/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）不适宜开发利用地下空间的论证报告。</w:t>
      </w:r>
    </w:p>
    <w:p w:rsidR="0020077A" w:rsidRPr="00547320" w:rsidRDefault="0020077A" w:rsidP="00C8070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0077A" w:rsidRPr="00547320" w:rsidTr="00BB79AF">
        <w:trPr>
          <w:trHeight w:val="2634"/>
          <w:jc w:val="center"/>
        </w:trPr>
        <w:tc>
          <w:tcPr>
            <w:tcW w:w="9356" w:type="dxa"/>
          </w:tcPr>
          <w:p w:rsidR="0020077A" w:rsidRPr="00547320" w:rsidRDefault="0020077A" w:rsidP="005A4BEF">
            <w:pPr>
              <w:rPr>
                <w:szCs w:val="21"/>
              </w:rPr>
            </w:pPr>
            <w:bookmarkStart w:id="80" w:name="_GoBack"/>
            <w:bookmarkEnd w:id="8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6B" w:rsidRDefault="00A20F6B" w:rsidP="0020077A">
      <w:r>
        <w:separator/>
      </w:r>
    </w:p>
  </w:endnote>
  <w:endnote w:type="continuationSeparator" w:id="0">
    <w:p w:rsidR="00A20F6B" w:rsidRDefault="00A20F6B" w:rsidP="0020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6B" w:rsidRDefault="00A20F6B" w:rsidP="0020077A">
      <w:r>
        <w:separator/>
      </w:r>
    </w:p>
  </w:footnote>
  <w:footnote w:type="continuationSeparator" w:id="0">
    <w:p w:rsidR="00A20F6B" w:rsidRDefault="00A20F6B" w:rsidP="0020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A20F6B"/>
    <w:rsid w:val="00BB79AF"/>
    <w:rsid w:val="00C80709"/>
    <w:rsid w:val="00F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B27821-160E-4972-8C7D-33B6CFC4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7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007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77A"/>
    <w:rPr>
      <w:sz w:val="18"/>
      <w:szCs w:val="18"/>
    </w:rPr>
  </w:style>
  <w:style w:type="character" w:customStyle="1" w:styleId="40">
    <w:name w:val="标题 4 字符"/>
    <w:basedOn w:val="a0"/>
    <w:link w:val="4"/>
    <w:rsid w:val="002007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0077A"/>
    <w:rPr>
      <w:color w:val="808080"/>
    </w:rPr>
  </w:style>
  <w:style w:type="table" w:customStyle="1" w:styleId="1">
    <w:name w:val="网格型1"/>
    <w:basedOn w:val="a1"/>
    <w:next w:val="a8"/>
    <w:uiPriority w:val="59"/>
    <w:rsid w:val="002007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20077A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2007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0077A"/>
    <w:rPr>
      <w:b/>
      <w:bCs/>
      <w:sz w:val="32"/>
      <w:szCs w:val="32"/>
    </w:rPr>
  </w:style>
  <w:style w:type="table" w:styleId="a8">
    <w:name w:val="Table Grid"/>
    <w:basedOn w:val="a1"/>
    <w:uiPriority w:val="39"/>
    <w:rsid w:val="0020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783BB2039F48D9B8618A8CB818C3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D49174-5AF9-4598-88BC-946F6BF6B823}"/>
      </w:docPartPr>
      <w:docPartBody>
        <w:p w:rsidR="00C47BA9" w:rsidRDefault="00985082" w:rsidP="00985082">
          <w:pPr>
            <w:pStyle w:val="CF783BB2039F48D9B8618A8CB818C3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45675C-5BBD-4D92-B3CB-64978D019E7C}"/>
      </w:docPartPr>
      <w:docPartBody>
        <w:p w:rsidR="00C47BA9" w:rsidRDefault="00985082" w:rsidP="00985082">
          <w:pPr>
            <w:pStyle w:val="50D883D024174DD58FC430FF20A1AE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48BE0-E66D-4EA6-8A64-2C46BDFB5E70}"/>
      </w:docPartPr>
      <w:docPartBody>
        <w:p w:rsidR="00C47BA9" w:rsidRDefault="00985082" w:rsidP="00985082">
          <w:pPr>
            <w:pStyle w:val="063A7111716B498F86395D3F6E559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01B362-E0DB-410C-B826-4E27D9BBB6CA}"/>
      </w:docPartPr>
      <w:docPartBody>
        <w:p w:rsidR="00C47BA9" w:rsidRDefault="00985082" w:rsidP="00985082">
          <w:pPr>
            <w:pStyle w:val="2AD274B0C0E249788956CAAA2D661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01A220-0060-45C8-87F1-513F9FB943BB}"/>
      </w:docPartPr>
      <w:docPartBody>
        <w:p w:rsidR="00C47BA9" w:rsidRDefault="00985082" w:rsidP="00985082">
          <w:pPr>
            <w:pStyle w:val="B46C3744FA3E4A9C8A91B57E71D30B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0ED11C-5BC3-45E8-A1E0-36581B1E1FF1}"/>
      </w:docPartPr>
      <w:docPartBody>
        <w:p w:rsidR="00C47BA9" w:rsidRDefault="00985082" w:rsidP="00985082">
          <w:pPr>
            <w:pStyle w:val="10972201248F448A838DE0F5980517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69C4D-3A78-4C37-8738-B8AB00EFB434}"/>
      </w:docPartPr>
      <w:docPartBody>
        <w:p w:rsidR="00C47BA9" w:rsidRDefault="00985082" w:rsidP="00985082">
          <w:pPr>
            <w:pStyle w:val="C76EE606EFC44110802EEC9C7BCF79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36C9E3-AAB4-4851-9B3A-F42FDCA9A7FD}"/>
      </w:docPartPr>
      <w:docPartBody>
        <w:p w:rsidR="00C47BA9" w:rsidRDefault="00985082" w:rsidP="00985082">
          <w:pPr>
            <w:pStyle w:val="4CA5387612B54E3083B1C0CB0A91E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85820E-B93A-4CE1-BE04-8C32D5AA73D7}"/>
      </w:docPartPr>
      <w:docPartBody>
        <w:p w:rsidR="00C47BA9" w:rsidRDefault="00985082" w:rsidP="00985082">
          <w:pPr>
            <w:pStyle w:val="B44C61D1D07C45F9A8F5F02249A18D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770076-485E-4903-8E02-BBA18D240EB2}"/>
      </w:docPartPr>
      <w:docPartBody>
        <w:p w:rsidR="00C47BA9" w:rsidRDefault="00985082" w:rsidP="00985082">
          <w:pPr>
            <w:pStyle w:val="87B11C948CB047509754D2E98D64E8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550E8D-8789-43A9-B9CB-7C829C8F0B29}"/>
      </w:docPartPr>
      <w:docPartBody>
        <w:p w:rsidR="00C47BA9" w:rsidRDefault="00985082" w:rsidP="00985082">
          <w:pPr>
            <w:pStyle w:val="71E19C2C37D04883B26821C823805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5D26B7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5082"/>
    <w:rPr>
      <w:color w:val="808080"/>
    </w:rPr>
  </w:style>
  <w:style w:type="paragraph" w:customStyle="1" w:styleId="CF783BB2039F48D9B8618A8CB818C34C">
    <w:name w:val="CF783BB2039F48D9B8618A8CB818C34C"/>
    <w:rsid w:val="00985082"/>
    <w:pPr>
      <w:widowControl w:val="0"/>
      <w:jc w:val="both"/>
    </w:pPr>
  </w:style>
  <w:style w:type="paragraph" w:customStyle="1" w:styleId="50D883D024174DD58FC430FF20A1AEE4">
    <w:name w:val="50D883D024174DD58FC430FF20A1AEE4"/>
    <w:rsid w:val="00985082"/>
    <w:pPr>
      <w:widowControl w:val="0"/>
      <w:jc w:val="both"/>
    </w:pPr>
  </w:style>
  <w:style w:type="paragraph" w:customStyle="1" w:styleId="063A7111716B498F86395D3F6E559779">
    <w:name w:val="063A7111716B498F86395D3F6E559779"/>
    <w:rsid w:val="00985082"/>
    <w:pPr>
      <w:widowControl w:val="0"/>
      <w:jc w:val="both"/>
    </w:pPr>
  </w:style>
  <w:style w:type="paragraph" w:customStyle="1" w:styleId="2AD274B0C0E249788956CAAA2D661936">
    <w:name w:val="2AD274B0C0E249788956CAAA2D661936"/>
    <w:rsid w:val="00985082"/>
    <w:pPr>
      <w:widowControl w:val="0"/>
      <w:jc w:val="both"/>
    </w:pPr>
  </w:style>
  <w:style w:type="paragraph" w:customStyle="1" w:styleId="B46C3744FA3E4A9C8A91B57E71D30B71">
    <w:name w:val="B46C3744FA3E4A9C8A91B57E71D30B71"/>
    <w:rsid w:val="00985082"/>
    <w:pPr>
      <w:widowControl w:val="0"/>
      <w:jc w:val="both"/>
    </w:pPr>
  </w:style>
  <w:style w:type="paragraph" w:customStyle="1" w:styleId="10972201248F448A838DE0F5980517A9">
    <w:name w:val="10972201248F448A838DE0F5980517A9"/>
    <w:rsid w:val="00985082"/>
    <w:pPr>
      <w:widowControl w:val="0"/>
      <w:jc w:val="both"/>
    </w:pPr>
  </w:style>
  <w:style w:type="paragraph" w:customStyle="1" w:styleId="C76EE606EFC44110802EEC9C7BCF7980">
    <w:name w:val="C76EE606EFC44110802EEC9C7BCF7980"/>
    <w:rsid w:val="00985082"/>
    <w:pPr>
      <w:widowControl w:val="0"/>
      <w:jc w:val="both"/>
    </w:pPr>
  </w:style>
  <w:style w:type="paragraph" w:customStyle="1" w:styleId="4CA5387612B54E3083B1C0CB0A91E2C9">
    <w:name w:val="4CA5387612B54E3083B1C0CB0A91E2C9"/>
    <w:rsid w:val="00985082"/>
    <w:pPr>
      <w:widowControl w:val="0"/>
      <w:jc w:val="both"/>
    </w:pPr>
  </w:style>
  <w:style w:type="paragraph" w:customStyle="1" w:styleId="B44C61D1D07C45F9A8F5F02249A18D1E">
    <w:name w:val="B44C61D1D07C45F9A8F5F02249A18D1E"/>
    <w:rsid w:val="00985082"/>
    <w:pPr>
      <w:widowControl w:val="0"/>
      <w:jc w:val="both"/>
    </w:pPr>
  </w:style>
  <w:style w:type="paragraph" w:customStyle="1" w:styleId="87B11C948CB047509754D2E98D64E8D1">
    <w:name w:val="87B11C948CB047509754D2E98D64E8D1"/>
    <w:rsid w:val="00985082"/>
    <w:pPr>
      <w:widowControl w:val="0"/>
      <w:jc w:val="both"/>
    </w:pPr>
  </w:style>
  <w:style w:type="paragraph" w:customStyle="1" w:styleId="71E19C2C37D04883B26821C823805995">
    <w:name w:val="71E19C2C37D04883B26821C823805995"/>
    <w:rsid w:val="00985082"/>
    <w:pPr>
      <w:widowControl w:val="0"/>
      <w:jc w:val="both"/>
    </w:pPr>
  </w:style>
  <w:style w:type="paragraph" w:customStyle="1" w:styleId="ED00142B0FBD43B284A4E568FFDD2263">
    <w:name w:val="ED00142B0FBD43B284A4E568FFDD2263"/>
    <w:rsid w:val="00985082"/>
    <w:pPr>
      <w:widowControl w:val="0"/>
      <w:jc w:val="both"/>
    </w:pPr>
  </w:style>
  <w:style w:type="paragraph" w:customStyle="1" w:styleId="C4584372C81948DDB0FA1D86D169C013">
    <w:name w:val="C4584372C81948DDB0FA1D86D169C013"/>
    <w:rsid w:val="00985082"/>
    <w:pPr>
      <w:widowControl w:val="0"/>
      <w:jc w:val="both"/>
    </w:pPr>
  </w:style>
  <w:style w:type="paragraph" w:customStyle="1" w:styleId="4F1EC2C0E5AF4F7F8761E31EFBE11FB9">
    <w:name w:val="4F1EC2C0E5AF4F7F8761E31EFBE11FB9"/>
    <w:rsid w:val="00985082"/>
    <w:pPr>
      <w:widowControl w:val="0"/>
      <w:jc w:val="both"/>
    </w:pPr>
  </w:style>
  <w:style w:type="paragraph" w:customStyle="1" w:styleId="46B0399AD9724FB8BE2AEE063E7A7376">
    <w:name w:val="46B0399AD9724FB8BE2AEE063E7A7376"/>
    <w:rsid w:val="0098508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2019-07-12T08:06:00Z</dcterms:created>
  <dcterms:modified xsi:type="dcterms:W3CDTF">2020-09-03T08:05:00Z</dcterms:modified>
</cp:coreProperties>
</file>