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璞玥府项目9#楼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焦作市城易达置业有限公司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项目用地面积：848.1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项目建筑面积：6864.3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38.6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36.0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6.3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总得分：Q=（Q0+Q1+Q2+Q3+Q4+Q5+QA）/10=66.9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56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