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sasasa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北京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项目建筑面积：120000平方米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总得分：Q=（Q0+Q1+Q2+Q3+Q4+Q5+QA）/10=75.5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评价星级：基本级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