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山东省青岛市开放式生活厂区居住建筑设计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青岛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青岛市福茂海鲜农产品有限公司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混凝土结构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项目用地面积：12000平方米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项目建筑面积：20000平方米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满足高限值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176.0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总得分：Q=（Q0+Q1+Q2+Q3+Q4+Q5+QA）/10=102.6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97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