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共挽檐下“源”在未来一基于双碳背景的保障性租赁住房的绿色改造与运维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★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中国城市科学研究会绿色建筑研究中心   V2.0.1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围护结构提高20%或负荷降低5%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住宅建筑外窗传热系数降低比例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达到高要求标准限值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达到高要求标准限值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96.0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96.0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176.0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98.0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95.0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总得分：Q=（Q0+Q1+Q2+Q3+Q4+Q5+QA）/10=104.1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5732145" cy="3819042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819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5732145" cy="4218561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218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14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96.0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