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3162A0">
      <w:pPr>
        <w:pStyle w:val="2"/>
        <w:jc w:val="center"/>
      </w:pPr>
    </w:p>
    <w:p w14:paraId="00A94E94">
      <w:pPr>
        <w:pStyle w:val="2"/>
        <w:jc w:val="center"/>
      </w:pPr>
    </w:p>
    <w:p w14:paraId="0A8A3B07">
      <w:pPr>
        <w:pStyle w:val="2"/>
        <w:jc w:val="center"/>
      </w:pPr>
    </w:p>
    <w:p w14:paraId="6C468DEC">
      <w:pPr>
        <w:pStyle w:val="2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校际生活共同体</w:t>
      </w:r>
    </w:p>
    <w:p w14:paraId="6529F09E">
      <w:pPr>
        <w:pStyle w:val="2"/>
        <w:jc w:val="center"/>
      </w:pPr>
      <w:r>
        <w:rPr>
          <w:rFonts w:hint="eastAsia"/>
        </w:rPr>
        <w:t>地面停车率</w:t>
      </w:r>
      <w:r>
        <w:t>计算书</w:t>
      </w:r>
    </w:p>
    <w:p w14:paraId="6DB9F4EB">
      <w:pPr>
        <w:rPr>
          <w:kern w:val="44"/>
          <w:sz w:val="44"/>
          <w:szCs w:val="44"/>
        </w:rPr>
      </w:pPr>
      <w:r>
        <w:br w:type="page"/>
      </w:r>
    </w:p>
    <w:p w14:paraId="7523853D">
      <w:pPr>
        <w:pStyle w:val="3"/>
        <w:rPr>
          <w:rStyle w:val="12"/>
          <w:i w:val="0"/>
          <w:iCs w:val="0"/>
          <w:color w:val="auto"/>
        </w:rPr>
      </w:pPr>
      <w:r>
        <w:rPr>
          <w:rStyle w:val="12"/>
          <w:rFonts w:hint="eastAsia"/>
          <w:i w:val="0"/>
          <w:iCs w:val="0"/>
          <w:color w:val="auto"/>
        </w:rPr>
        <w:t>1</w:t>
      </w:r>
      <w:r>
        <w:rPr>
          <w:rStyle w:val="12"/>
          <w:i w:val="0"/>
          <w:iCs w:val="0"/>
          <w:color w:val="auto"/>
        </w:rPr>
        <w:t xml:space="preserve"> </w:t>
      </w:r>
      <w:r>
        <w:rPr>
          <w:rStyle w:val="12"/>
          <w:rFonts w:hint="eastAsia"/>
          <w:i w:val="0"/>
          <w:iCs w:val="0"/>
          <w:color w:val="auto"/>
        </w:rPr>
        <w:t>项目</w:t>
      </w:r>
      <w:r>
        <w:rPr>
          <w:rStyle w:val="12"/>
          <w:i w:val="0"/>
          <w:iCs w:val="0"/>
          <w:color w:val="auto"/>
        </w:rPr>
        <w:t>概况</w:t>
      </w:r>
    </w:p>
    <w:p w14:paraId="2184215B">
      <w:pPr>
        <w:ind w:firstLine="482" w:firstLineChars="200"/>
        <w:rPr>
          <w:sz w:val="24"/>
        </w:rPr>
      </w:pPr>
      <w:r>
        <w:rPr>
          <w:b/>
          <w:sz w:val="24"/>
        </w:rPr>
        <w:t>项目名称</w:t>
      </w:r>
      <w:r>
        <w:rPr>
          <w:sz w:val="24"/>
        </w:rPr>
        <w:t>：</w:t>
      </w:r>
      <w:r>
        <w:rPr>
          <w:rFonts w:hint="eastAsia"/>
          <w:sz w:val="24"/>
        </w:rPr>
        <w:t>“种食研售”模式下的校际生活综合体设计</w:t>
      </w:r>
    </w:p>
    <w:p w14:paraId="00CEBA90">
      <w:pPr>
        <w:ind w:firstLine="480" w:firstLineChars="200"/>
        <w:rPr>
          <w:sz w:val="24"/>
        </w:rPr>
      </w:pPr>
      <w:r>
        <w:rPr>
          <w:sz w:val="24"/>
        </w:rPr>
        <w:t>项目位于</w:t>
      </w:r>
      <w:r>
        <w:rPr>
          <w:rFonts w:hint="eastAsia"/>
          <w:sz w:val="24"/>
          <w:lang w:val="en-US" w:eastAsia="zh-CN"/>
        </w:rPr>
        <w:t>广州市天河区</w:t>
      </w:r>
      <w:bookmarkStart w:id="0" w:name="_GoBack"/>
      <w:bookmarkEnd w:id="0"/>
      <w:r>
        <w:rPr>
          <w:rFonts w:hint="eastAsia"/>
          <w:sz w:val="24"/>
          <w:lang w:val="en-US" w:eastAsia="zh-CN"/>
        </w:rPr>
        <w:t>某理工大学与农业大学的物理边界——东区食堂</w:t>
      </w:r>
      <w:r>
        <w:rPr>
          <w:sz w:val="24"/>
        </w:rPr>
        <w:t xml:space="preserve">。该项目总用地面积为 </w:t>
      </w:r>
      <w:r>
        <w:rPr>
          <w:rFonts w:hint="eastAsia"/>
          <w:sz w:val="24"/>
          <w:lang w:val="en-US" w:eastAsia="zh-CN"/>
        </w:rPr>
        <w:t>7608.8</w:t>
      </w:r>
      <w:r>
        <w:rPr>
          <w:sz w:val="24"/>
        </w:rPr>
        <w:t xml:space="preserve"> 平方米，建筑面积为 </w:t>
      </w:r>
      <w:r>
        <w:rPr>
          <w:rFonts w:hint="eastAsia"/>
          <w:sz w:val="24"/>
          <w:lang w:val="en-US" w:eastAsia="zh-CN"/>
        </w:rPr>
        <w:t>4255.9</w:t>
      </w:r>
      <w:r>
        <w:rPr>
          <w:sz w:val="24"/>
        </w:rPr>
        <w:t>平方米。</w:t>
      </w:r>
    </w:p>
    <w:p w14:paraId="25B63357">
      <w:pPr>
        <w:rPr>
          <w:sz w:val="24"/>
        </w:rPr>
      </w:pPr>
      <w:r>
        <w:drawing>
          <wp:inline distT="0" distB="0" distL="114300" distR="114300">
            <wp:extent cx="5258435" cy="3499485"/>
            <wp:effectExtent l="0" t="0" r="1206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349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DBEE2">
      <w:pPr>
        <w:ind w:firstLine="480" w:firstLineChars="200"/>
        <w:jc w:val="center"/>
        <w:rPr>
          <w:sz w:val="24"/>
        </w:rPr>
      </w:pPr>
      <w:r>
        <w:rPr>
          <w:sz w:val="24"/>
        </w:rPr>
        <w:t>项目效果图</w:t>
      </w:r>
    </w:p>
    <w:p w14:paraId="0B30E4B4">
      <w:pPr>
        <w:pStyle w:val="2"/>
        <w:rPr>
          <w:sz w:val="28"/>
        </w:rPr>
      </w:pPr>
      <w:r>
        <w:rPr>
          <w:rFonts w:hint="eastAsia"/>
          <w:sz w:val="28"/>
        </w:rPr>
        <w:t>2 标准要求</w:t>
      </w:r>
    </w:p>
    <w:p w14:paraId="5BDEA85D">
      <w:pPr>
        <w:spacing w:line="276" w:lineRule="auto"/>
        <w:ind w:firstLine="420"/>
        <w:rPr>
          <w:sz w:val="24"/>
        </w:rPr>
      </w:pPr>
      <w:r>
        <w:rPr>
          <w:sz w:val="24"/>
        </w:rPr>
        <w:t>《绿色建筑</w:t>
      </w:r>
      <w:r>
        <w:rPr>
          <w:rFonts w:hint="eastAsia"/>
          <w:sz w:val="24"/>
        </w:rPr>
        <w:t>评价</w:t>
      </w:r>
      <w:r>
        <w:rPr>
          <w:sz w:val="24"/>
        </w:rPr>
        <w:t>标准》GB/T 50378-2019</w:t>
      </w:r>
      <w:r>
        <w:rPr>
          <w:rFonts w:hint="eastAsia"/>
          <w:sz w:val="24"/>
        </w:rPr>
        <w:t>（2</w:t>
      </w:r>
      <w:r>
        <w:rPr>
          <w:sz w:val="24"/>
        </w:rPr>
        <w:t>024</w:t>
      </w:r>
      <w:r>
        <w:rPr>
          <w:rFonts w:hint="eastAsia"/>
          <w:sz w:val="24"/>
        </w:rPr>
        <w:t>年版）</w:t>
      </w:r>
      <w:r>
        <w:rPr>
          <w:sz w:val="24"/>
        </w:rPr>
        <w:t>第7.2.3 条明确要求：</w:t>
      </w:r>
    </w:p>
    <w:p w14:paraId="2B56A846">
      <w:pPr>
        <w:ind w:firstLine="420"/>
        <w:rPr>
          <w:rFonts w:asciiTheme="minorEastAsia" w:hAnsiTheme="minorEastAsia"/>
          <w:sz w:val="24"/>
          <w:szCs w:val="21"/>
        </w:rPr>
      </w:pPr>
      <w:r>
        <w:rPr>
          <w:rFonts w:hint="eastAsia" w:asciiTheme="minorEastAsia" w:hAnsiTheme="minorEastAsia"/>
          <w:sz w:val="24"/>
          <w:szCs w:val="21"/>
        </w:rPr>
        <w:t>采用机械式停车设施、地下停车库或地面停车楼等方式，评价分值为8分，并按下列规则评分：</w:t>
      </w:r>
    </w:p>
    <w:p w14:paraId="3A4A77E5">
      <w:pPr>
        <w:ind w:firstLine="420"/>
        <w:rPr>
          <w:rFonts w:asciiTheme="minorEastAsia" w:hAnsiTheme="minorEastAsia"/>
          <w:sz w:val="24"/>
          <w:szCs w:val="21"/>
        </w:rPr>
      </w:pPr>
      <w:r>
        <w:rPr>
          <w:rFonts w:hint="eastAsia" w:asciiTheme="minorEastAsia" w:hAnsiTheme="minorEastAsia"/>
          <w:sz w:val="24"/>
          <w:szCs w:val="21"/>
        </w:rPr>
        <w:t xml:space="preserve">  </w:t>
      </w:r>
      <w:r>
        <w:rPr>
          <w:rFonts w:asciiTheme="minorEastAsia" w:hAnsiTheme="minorEastAsia"/>
          <w:sz w:val="24"/>
          <w:szCs w:val="21"/>
        </w:rPr>
        <w:tab/>
      </w:r>
      <w:r>
        <w:rPr>
          <w:rFonts w:hint="eastAsia" w:asciiTheme="minorEastAsia" w:hAnsiTheme="minorEastAsia"/>
          <w:sz w:val="24"/>
          <w:szCs w:val="21"/>
        </w:rPr>
        <w:t>1   住宅建筑地面停车位数量与住宅总套数的比率应小于10%，得8分；</w:t>
      </w:r>
    </w:p>
    <w:p w14:paraId="30E50A53">
      <w:pPr>
        <w:ind w:firstLine="420"/>
        <w:rPr>
          <w:rFonts w:asciiTheme="minorEastAsia" w:hAnsiTheme="minorEastAsia"/>
          <w:sz w:val="24"/>
          <w:szCs w:val="21"/>
        </w:rPr>
      </w:pPr>
      <w:r>
        <w:rPr>
          <w:rFonts w:hint="eastAsia" w:asciiTheme="minorEastAsia" w:hAnsiTheme="minorEastAsia"/>
          <w:sz w:val="24"/>
          <w:szCs w:val="21"/>
        </w:rPr>
        <w:t xml:space="preserve">  </w:t>
      </w:r>
      <w:r>
        <w:rPr>
          <w:rFonts w:asciiTheme="minorEastAsia" w:hAnsiTheme="minorEastAsia"/>
          <w:sz w:val="24"/>
          <w:szCs w:val="21"/>
        </w:rPr>
        <w:tab/>
      </w:r>
      <w:r>
        <w:rPr>
          <w:rFonts w:hint="eastAsia" w:asciiTheme="minorEastAsia" w:hAnsiTheme="minorEastAsia"/>
          <w:sz w:val="24"/>
          <w:szCs w:val="21"/>
        </w:rPr>
        <w:t>2  公共建筑地面停车占地面积与其总建设用地面积的比率应小于8%，得8分。</w:t>
      </w:r>
    </w:p>
    <w:p w14:paraId="3AE749F1">
      <w:pPr>
        <w:ind w:firstLine="420"/>
        <w:rPr>
          <w:rFonts w:asciiTheme="minorEastAsia" w:hAnsiTheme="minorEastAsia"/>
          <w:sz w:val="24"/>
          <w:szCs w:val="21"/>
        </w:rPr>
      </w:pPr>
    </w:p>
    <w:p w14:paraId="7361FF66">
      <w:pPr>
        <w:pStyle w:val="2"/>
        <w:rPr>
          <w:sz w:val="28"/>
        </w:rPr>
      </w:pPr>
      <w:r>
        <w:rPr>
          <w:sz w:val="28"/>
        </w:rPr>
        <w:t>3</w:t>
      </w:r>
      <w:r>
        <w:rPr>
          <w:rFonts w:hint="eastAsia"/>
          <w:sz w:val="28"/>
        </w:rPr>
        <w:t xml:space="preserve"> 计算</w:t>
      </w:r>
    </w:p>
    <w:p w14:paraId="1F393B7B">
      <w:pPr>
        <w:ind w:firstLine="420"/>
        <w:rPr>
          <w:u w:val="single"/>
        </w:rPr>
      </w:pPr>
      <w:r>
        <w:rPr>
          <w:rFonts w:hint="eastAsia"/>
        </w:rPr>
        <w:t>地面</w:t>
      </w:r>
      <w:r>
        <w:t>停车位数：</w:t>
      </w:r>
      <w:r>
        <w:rPr>
          <w:rFonts w:hint="eastAsia"/>
        </w:rPr>
        <w:t xml:space="preserve"> </w:t>
      </w:r>
      <w:r>
        <w:t xml:space="preserve">  </w:t>
      </w:r>
      <w:r>
        <w:rPr>
          <w:u w:val="single"/>
        </w:rPr>
        <w:t xml:space="preserve">     </w:t>
      </w:r>
      <w:r>
        <w:rPr>
          <w:rFonts w:hint="eastAsia"/>
          <w:u w:val="single"/>
          <w:lang w:val="en-US" w:eastAsia="zh-CN"/>
        </w:rPr>
        <w:t>26</w:t>
      </w:r>
      <w:r>
        <w:rPr>
          <w:u w:val="single"/>
        </w:rPr>
        <w:t xml:space="preserve">   </w:t>
      </w:r>
      <w:r>
        <w:rPr>
          <w:rFonts w:hint="eastAsia"/>
          <w:u w:val="single"/>
        </w:rPr>
        <w:t>个</w:t>
      </w:r>
    </w:p>
    <w:p w14:paraId="5B773F07">
      <w:pPr>
        <w:ind w:firstLine="420"/>
      </w:pPr>
    </w:p>
    <w:p w14:paraId="1610F825">
      <w:pPr>
        <w:ind w:firstLine="420"/>
        <w:rPr>
          <w:u w:val="single"/>
        </w:rPr>
      </w:pPr>
      <w:r>
        <w:rPr>
          <w:rFonts w:hint="eastAsia"/>
        </w:rPr>
        <w:t>小区住宅套数</w:t>
      </w:r>
      <w:r>
        <w:t>：</w:t>
      </w:r>
      <w:r>
        <w:rPr>
          <w:rFonts w:hint="eastAsia"/>
        </w:rPr>
        <w:t xml:space="preserve"> </w:t>
      </w:r>
      <w:r>
        <w:t xml:space="preserve">  </w:t>
      </w:r>
      <w:r>
        <w:rPr>
          <w:u w:val="single"/>
        </w:rPr>
        <w:t xml:space="preserve">      </w:t>
      </w:r>
      <w:r>
        <w:rPr>
          <w:rFonts w:hint="eastAsia"/>
          <w:u w:val="single"/>
          <w:lang w:val="en-US" w:eastAsia="zh-CN"/>
        </w:rPr>
        <w:t>/</w:t>
      </w:r>
      <w:r>
        <w:rPr>
          <w:u w:val="single"/>
        </w:rPr>
        <w:t xml:space="preserve">   </w:t>
      </w:r>
      <w:r>
        <w:rPr>
          <w:rFonts w:hint="eastAsia"/>
          <w:u w:val="single"/>
        </w:rPr>
        <w:t>套</w:t>
      </w:r>
    </w:p>
    <w:p w14:paraId="11D87ADD"/>
    <w:p w14:paraId="648E10F5">
      <w:pPr>
        <w:ind w:firstLine="420"/>
      </w:pPr>
      <w:r>
        <w:rPr>
          <w:rFonts w:hint="eastAsia"/>
        </w:rPr>
        <w:t>地面停车率=地面停车占地面积/总建设用地面积</w:t>
      </w:r>
    </w:p>
    <w:p w14:paraId="25F38E86">
      <w:pPr>
        <w:ind w:left="1260" w:firstLine="210" w:firstLineChars="100"/>
      </w:pPr>
    </w:p>
    <w:p w14:paraId="15BA00F3">
      <w:pPr>
        <w:ind w:left="1260" w:firstLine="210" w:firstLineChars="100"/>
        <w:rPr>
          <w:u w:val="single"/>
        </w:rPr>
      </w:pPr>
      <w:r>
        <w:rPr>
          <w:rFonts w:hint="eastAsia"/>
        </w:rPr>
        <w:t>=</w:t>
      </w:r>
      <w:r>
        <w:t xml:space="preserve"> </w:t>
      </w:r>
      <w:r>
        <w:rPr>
          <w:u w:val="single"/>
        </w:rPr>
        <w:t xml:space="preserve"> </w:t>
      </w:r>
      <w:r>
        <w:rPr>
          <w:rFonts w:hint="eastAsia"/>
          <w:u w:val="single"/>
          <w:lang w:val="en-US" w:eastAsia="zh-CN"/>
        </w:rPr>
        <w:t>330.72㎡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>/</w:t>
      </w:r>
      <w:r>
        <w:rPr>
          <w:rFonts w:hint="eastAsia"/>
          <w:u w:val="single"/>
          <w:lang w:val="en-US" w:eastAsia="zh-CN"/>
        </w:rPr>
        <w:t>7608.80㎡</w:t>
      </w:r>
      <w:r>
        <w:rPr>
          <w:rFonts w:hint="eastAsia"/>
          <w:u w:val="single"/>
        </w:rPr>
        <w:t xml:space="preserve"> </w:t>
      </w:r>
      <w:r>
        <w:t xml:space="preserve">  =</w:t>
      </w:r>
      <w:r>
        <w:rPr>
          <w:u w:val="single"/>
        </w:rPr>
        <w:t xml:space="preserve">  </w:t>
      </w:r>
      <w:r>
        <w:rPr>
          <w:rFonts w:hint="eastAsia"/>
          <w:u w:val="single"/>
          <w:lang w:val="en-US" w:eastAsia="zh-CN"/>
        </w:rPr>
        <w:t>4.35%</w:t>
      </w:r>
      <w:r>
        <w:rPr>
          <w:u w:val="single"/>
        </w:rPr>
        <w:t xml:space="preserve"> </w:t>
      </w:r>
    </w:p>
    <w:p w14:paraId="20D92709">
      <w:pPr>
        <w:rPr>
          <w:u w:val="single"/>
        </w:rPr>
      </w:pPr>
    </w:p>
    <w:p w14:paraId="709ACC83">
      <w:pPr>
        <w:rPr>
          <w:u w:val="single"/>
        </w:rPr>
      </w:pPr>
    </w:p>
    <w:p w14:paraId="7A52E0E3">
      <w:pPr>
        <w:pStyle w:val="2"/>
        <w:rPr>
          <w:sz w:val="28"/>
        </w:rPr>
      </w:pPr>
      <w:r>
        <w:rPr>
          <w:sz w:val="28"/>
        </w:rPr>
        <w:t>4</w:t>
      </w:r>
      <w:r>
        <w:rPr>
          <w:rFonts w:hint="eastAsia"/>
          <w:sz w:val="28"/>
        </w:rPr>
        <w:t xml:space="preserve"> 结论</w:t>
      </w:r>
    </w:p>
    <w:p w14:paraId="26650B83">
      <w:pPr>
        <w:rPr>
          <w:rFonts w:asciiTheme="minorEastAsia" w:hAnsiTheme="minorEastAsia"/>
          <w:sz w:val="24"/>
          <w:szCs w:val="21"/>
        </w:rPr>
      </w:pPr>
      <w:r>
        <w:tab/>
      </w:r>
      <w:r>
        <w:rPr>
          <w:rFonts w:hint="eastAsia" w:asciiTheme="minorEastAsia" w:hAnsiTheme="minorEastAsia"/>
          <w:sz w:val="24"/>
          <w:szCs w:val="21"/>
        </w:rPr>
        <w:t>经验算</w:t>
      </w:r>
      <w:r>
        <w:rPr>
          <w:rFonts w:asciiTheme="minorEastAsia" w:hAnsiTheme="minorEastAsia"/>
          <w:sz w:val="24"/>
          <w:szCs w:val="21"/>
        </w:rPr>
        <w:t>，</w:t>
      </w:r>
      <w:r>
        <w:rPr>
          <w:rFonts w:hint="eastAsia" w:asciiTheme="minorEastAsia" w:hAnsiTheme="minorEastAsia"/>
          <w:sz w:val="24"/>
          <w:szCs w:val="21"/>
        </w:rPr>
        <w:t>公共建筑地面停车占地面积与其总建设用地面积的比率为</w:t>
      </w:r>
      <w:r>
        <w:rPr>
          <w:rFonts w:hint="eastAsia"/>
          <w:u w:val="single"/>
          <w:lang w:val="en-US" w:eastAsia="zh-CN"/>
        </w:rPr>
        <w:t>4.35%</w:t>
      </w:r>
      <w:r>
        <w:rPr>
          <w:rFonts w:hint="eastAsia" w:asciiTheme="minorEastAsia" w:hAnsiTheme="minorEastAsia"/>
          <w:sz w:val="24"/>
          <w:szCs w:val="21"/>
        </w:rPr>
        <w:t>，</w:t>
      </w:r>
      <w:r>
        <w:rPr>
          <w:rFonts w:asciiTheme="minorEastAsia" w:hAnsiTheme="minorEastAsia"/>
          <w:sz w:val="24"/>
          <w:szCs w:val="21"/>
        </w:rPr>
        <w:t>满足规范要求，可得</w:t>
      </w:r>
      <w:r>
        <w:rPr>
          <w:rFonts w:hint="eastAsia" w:asciiTheme="minorEastAsia" w:hAnsiTheme="minorEastAsia"/>
          <w:sz w:val="24"/>
          <w:szCs w:val="21"/>
        </w:rPr>
        <w:t>8分</w:t>
      </w:r>
      <w:r>
        <w:rPr>
          <w:rFonts w:asciiTheme="minorEastAsia" w:hAnsiTheme="minorEastAsia"/>
          <w:sz w:val="24"/>
          <w:szCs w:val="21"/>
        </w:rPr>
        <w:t>。</w:t>
      </w:r>
    </w:p>
    <w:p w14:paraId="6AEED096">
      <w:pPr>
        <w:rPr>
          <w:u w:val="single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5AA6"/>
    <w:rsid w:val="003B2C32"/>
    <w:rsid w:val="00427EC4"/>
    <w:rsid w:val="00625AA6"/>
    <w:rsid w:val="00D221CD"/>
    <w:rsid w:val="00D35CD4"/>
    <w:rsid w:val="00E94094"/>
    <w:rsid w:val="09F455D1"/>
    <w:rsid w:val="2AC2138E"/>
    <w:rsid w:val="3E224BBC"/>
    <w:rsid w:val="44F11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Subtitle"/>
    <w:basedOn w:val="1"/>
    <w:next w:val="1"/>
    <w:link w:val="11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7">
    <w:name w:val="Title"/>
    <w:basedOn w:val="1"/>
    <w:next w:val="1"/>
    <w:link w:val="13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1">
    <w:name w:val="副标题 字符"/>
    <w:basedOn w:val="9"/>
    <w:link w:val="6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12">
    <w:name w:val="Subtle Emphasis"/>
    <w:basedOn w:val="9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3">
    <w:name w:val="标题 字符"/>
    <w:basedOn w:val="9"/>
    <w:link w:val="7"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14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5">
    <w:name w:val="List Paragraph"/>
    <w:basedOn w:val="1"/>
    <w:qFormat/>
    <w:uiPriority w:val="34"/>
    <w:pPr>
      <w:ind w:firstLine="420" w:firstLineChars="200"/>
    </w:pPr>
    <w:rPr>
      <w:rFonts w:ascii="Times New Roman" w:hAnsi="Times New Roman" w:eastAsia="宋体" w:cs="Times New Roman"/>
      <w:szCs w:val="24"/>
    </w:rPr>
  </w:style>
  <w:style w:type="character" w:customStyle="1" w:styleId="16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7">
    <w:name w:val="页脚 字符"/>
    <w:basedOn w:val="9"/>
    <w:link w:val="4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292</Words>
  <Characters>334</Characters>
  <Lines>3</Lines>
  <Paragraphs>1</Paragraphs>
  <TotalTime>4</TotalTime>
  <ScaleCrop>false</ScaleCrop>
  <LinksUpToDate>false</LinksUpToDate>
  <CharactersWithSpaces>408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2020-01-10T07:36:00Z</dcterms:created>
  <dc:creator>dongYP</dc:creator>
  <cp:lastModifiedBy>...</cp:lastModifiedBy>
  <dcterms:modified xsi:type="dcterms:W3CDTF">2026-03-27T12:56:39Z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eyJoZGlkIjoiODI0YzM0MzhhMTY3OTA2YWFjZGIyN2IxNzBkZjBmZDEiLCJ1c2VySWQiOiI4MTM4NTUyMTkifQ==</vt:lpwstr>
  </property>
  <property fmtid="{D5CDD505-2E9C-101B-9397-08002B2CF9AE}" pid="3" name="KSOProductBuildVer">
    <vt:lpwstr>2052-12.1.0.25225</vt:lpwstr>
  </property>
  <property fmtid="{D5CDD505-2E9C-101B-9397-08002B2CF9AE}" pid="4" name="ICV">
    <vt:lpwstr>5075A9DAA4D849BEACE140624145825D_12</vt:lpwstr>
  </property>
</Properties>
</file>