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山野于崊—卜空村绿色生态休闲民宿改造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报告日期：2025年3月12日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项目名称：山野于崊—卜空村绿色生态休闲民宿改造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绿色建材应用比例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应用比例40%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碳减排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全寿命期单位建筑面积碳排放强为20kgCO2/（m2·a）减碳率30%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1034.0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