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广州白鹅潭酒店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项目地址：荔湾白鹅潭商务区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报告日期：2025年3月10日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项目名称：广州白鹅潭酒店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