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德皓·长安府住宅小区建设项目一期二期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河北德皓房地产开发有限公司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参与单位名称：新中远工程设计有限公司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★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中国城市科学研究会绿色建筑研究中心   V2.0.1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1、各类指标的评分项得分均不小于该评分项满分值的30%。□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围护结构提高0%或负荷降低%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住宅建筑外窗传热系数降低比例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达到低限标准限值和高要求标准限值的平均值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36.0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38.0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29.0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总得分：Q=（Q0+Q1+Q2+Q3+Q4+Q5+QA）/10=60.3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强制性规范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6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36.0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