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image/png" PartName="/word/media/document_image_rId4.png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15="http://schemas.microsoft.com/office/word/2012/wordml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wp14="http://schemas.microsoft.com/office/word/2010/wordprocessingDrawing" xmlns:ns32="http://schemas.openxmlformats.org/drawingml/2006/compatibility" xmlns:ns33="http://schemas.openxmlformats.org/drawingml/2006/lockedCanvas">
  <w:body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48"/>
          <w:szCs w:val="48"/>
        </w:rPr>
        <w:t>时空折叠的绿芯-社区图书馆生态重塑</w:t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36"/>
          <w:szCs w:val="36"/>
        </w:rPr>
        <w:t>绿色建筑设计专项方案</w:t>
      </w:r>
    </w:p>
    <w:p>
      <w:pPr>
        <w:jc w:val="center"/>
      </w:pPr>
      <w:r>
        <w:drawing>
          <wp:inline distT="0" distB="0" distL="0" distR="0">
            <wp:extent cx="5732145" cy="3851285"/>
            <wp:effectExtent l="0" t="0" r="0" b="0"/>
            <wp:docPr id="1" name="Filename hint" descr="Alternative text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2" name="Filename hint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3851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left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业主单位：</w:t>
      </w:r>
    </w:p>
    <w:p>
      <w:pPr>
        <w:jc w:val="left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设计单位：</w:t>
      </w:r>
    </w:p>
    <w:p>
      <w:pPr>
        <w:jc w:val="left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咨询单位：</w:t>
      </w:r>
    </w:p>
    <w:p>
      <w:pPr>
        <w:jc w:val="left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项目地址：</w:t>
      </w:r>
    </w:p>
    <w:p>
      <w:pPr>
        <w:jc w:val="left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报告日期：2026年3月29日</w:t>
      </w:r>
    </w:p>
    <w:p>
      <w:br w:type="page"/>
    </w:p>
    <w:p>
      <w:pPr>
        <w:jc w:val="left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1.	概述</w:t>
      </w:r>
    </w:p>
    <w:p>
      <w:r>
        <w:rPr>
          <w:rFonts w:hint="eastAsia" w:ascii="宋体" w:hAnsi="宋体"/>
          <w:b/>
          <w:bCs/>
          <w:color w:val="000000"/>
          <w:sz w:val="24"/>
          <w:szCs w:val="24"/>
        </w:rPr>
        <w:t>项目名称：时空折叠的绿芯-社区图书馆生态重塑</w:t>
      </w:r>
    </w:p>
    <w:p>
      <w:r>
        <w:rPr>
          <w:rFonts w:hint="eastAsia" w:ascii="宋体" w:hAnsi="宋体"/>
          <w:b/>
          <w:bCs/>
          <w:color w:val="000000"/>
          <w:sz w:val="24"/>
          <w:szCs w:val="24"/>
        </w:rPr>
        <w:t>依据标准：《绿色建筑评价标准》GB/T 50378-2024</w:t>
      </w:r>
    </w:p>
    <w:p>
      <w:r>
        <w:rPr>
          <w:rFonts w:hint="eastAsia" w:ascii="宋体" w:hAnsi="宋体"/>
          <w:b/>
          <w:bCs/>
          <w:color w:val="000000"/>
          <w:sz w:val="24"/>
          <w:szCs w:val="24"/>
        </w:rPr>
        <w:t>标准要求：</w:t>
      </w:r>
    </w:p>
    <w:tbl>
      <w:tblPr>
        <w:jc w:val="center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</w:tblPr>
      <w:tr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安全耐久</w:t>
            </w:r>
          </w:p>
        </w:tc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健康舒适</w:t>
            </w:r>
          </w:p>
        </w:tc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生活便利</w:t>
            </w:r>
          </w:p>
        </w:tc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资源节约</w:t>
            </w:r>
          </w:p>
        </w:tc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环境宜居</w:t>
            </w:r>
          </w:p>
        </w:tc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提高与创新</w:t>
            </w:r>
          </w:p>
        </w:tc>
      </w:tr>
      <w:tr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控制项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</w:tr>
      <w:tr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评分项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≥30%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≥30%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≥30%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≥30%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≥30%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</w:tr>
      <w:tr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★</w:t>
            </w:r>
          </w:p>
        </w:tc>
        <w:tc>
          <w:tcPr>
            <w:tcW w:w="1000" w:type="dxa"/>
            <w:h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≥60</w:t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</w:tr>
      <w:tr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★★</w:t>
            </w:r>
          </w:p>
        </w:tc>
        <w:tc>
          <w:tcPr>
            <w:tcW w:w="1000" w:type="dxa"/>
            <w:h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≥70</w:t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</w:tr>
      <w:tr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★★★</w:t>
            </w:r>
          </w:p>
        </w:tc>
        <w:tc>
          <w:tcPr>
            <w:tcW w:w="1000" w:type="dxa"/>
            <w:h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≥85</w:t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</w:tr>
    </w:tbl>
    <w:p>
      <w:r>
        <w:rPr>
          <w:rFonts w:hint="eastAsia" w:ascii="宋体" w:hAnsi="宋体"/>
          <w:b/>
          <w:bCs/>
          <w:color w:val="000000"/>
          <w:sz w:val="24"/>
          <w:szCs w:val="24"/>
        </w:rPr>
        <w:t>技术要求：</w:t>
      </w:r>
    </w:p>
    <w:tbl>
      <w:tblPr>
        <w:jc w:val="center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</w:tblPr>
      <w:tr>
        <w:tc>
          <w:tcPr>
            <w:tcW w:w="175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技术指标内容</w:t>
            </w:r>
          </w:p>
        </w:tc>
        <w:tc>
          <w:tcPr>
            <w:tcW w:w="175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申报星级要求</w:t>
            </w:r>
          </w:p>
        </w:tc>
        <w:tc>
          <w:tcPr>
            <w:tcW w:w="175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自评情况</w:t>
            </w:r>
          </w:p>
        </w:tc>
        <w:tc>
          <w:tcPr>
            <w:tcW w:w="175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是否达标</w:t>
            </w:r>
          </w:p>
        </w:tc>
      </w:tr>
      <w:tr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围护结构热工性能的提高比例或建筑供暖空调负荷降低比例</w:t>
            </w:r>
          </w:p>
        </w:tc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围护结构提高5%或负荷降低5%</w:t>
            </w:r>
          </w:p>
        </w:tc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围护结构提高10%或负荷降低5%</w:t>
            </w:r>
          </w:p>
        </w:tc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是</w:t>
            </w:r>
          </w:p>
        </w:tc>
      </w:tr>
      <w:tr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节水器具用水效率等级</w:t>
            </w:r>
          </w:p>
        </w:tc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3级</w:t>
            </w:r>
          </w:p>
        </w:tc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2级</w:t>
            </w:r>
          </w:p>
        </w:tc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是</w:t>
            </w:r>
          </w:p>
        </w:tc>
      </w:tr>
      <w:tr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室内主要空气污染物浓度降低比例</w:t>
            </w:r>
          </w:p>
        </w:tc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10%</w:t>
            </w:r>
          </w:p>
        </w:tc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10%</w:t>
            </w:r>
          </w:p>
        </w:tc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是</w:t>
            </w:r>
          </w:p>
        </w:tc>
      </w:tr>
      <w:tr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住宅建筑隔声性能</w:t>
            </w:r>
          </w:p>
        </w:tc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-</w:t>
            </w:r>
          </w:p>
        </w:tc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达到低限标准限值和高要求标准限值的平均值</w:t>
            </w:r>
          </w:p>
        </w:tc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是</w:t>
            </w:r>
          </w:p>
        </w:tc>
      </w:tr>
      <w:tr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绿色建材应用比例</w:t>
            </w:r>
          </w:p>
        </w:tc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10%</w:t>
            </w:r>
          </w:p>
        </w:tc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应用比例30%</w:t>
            </w:r>
          </w:p>
        </w:tc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是</w:t>
            </w:r>
          </w:p>
        </w:tc>
      </w:tr>
      <w:tr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碳减排</w:t>
            </w:r>
          </w:p>
        </w:tc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明确全寿命期单位建筑面积碳排放强度，并明确降低碳排放强度的技术措施</w:t>
            </w:r>
          </w:p>
        </w:tc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全寿命期单位建筑面积碳排放强为30kgCO2/（m2·a）减碳率30%</w:t>
            </w:r>
          </w:p>
        </w:tc>
        <w:tc>
          <w:tcPr>
            <w:tcW w:w="19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是</w:t>
            </w:r>
          </w:p>
        </w:tc>
      </w:tr>
    </w:tbl>
    <w:p>
      <w:pPr>
        <w:jc w:val="left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/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/>
      </w:r>
    </w:p>
    <w:p>
      <w:r>
        <w:rPr>
          <w:rFonts w:hint="eastAsia" w:ascii="宋体" w:hAnsi="宋体"/>
          <w:b/>
          <w:bCs/>
          <w:color w:val="000000"/>
          <w:sz w:val="24"/>
          <w:szCs w:val="24"/>
        </w:rPr>
        <w:t>评价结果：</w:t>
      </w:r>
    </w:p>
    <w:tbl>
      <w:tblPr>
        <w:jc w:val="center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</w:tblPr>
      <w:tr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安全耐久</w:t>
            </w:r>
          </w:p>
        </w:tc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健康舒适</w:t>
            </w:r>
          </w:p>
        </w:tc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生活便利</w:t>
            </w:r>
          </w:p>
        </w:tc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资源节约</w:t>
            </w:r>
          </w:p>
        </w:tc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环境宜居</w:t>
            </w:r>
          </w:p>
        </w:tc>
        <w:tc>
          <w:tcPr>
            <w:tcW w:w="1000" w:type="dxa"/>
            <w:vAlign w:val="center"/>
          </w:tcPr>
          <w:p>
            <w:pPr>
              <w:jc w:val="lowKashida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提高与创新</w:t>
            </w:r>
          </w:p>
        </w:tc>
      </w:tr>
      <w:tr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控制项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</w:tr>
      <w:tr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控制项分值</w:t>
            </w:r>
          </w:p>
        </w:tc>
        <w:tc>
          <w:tcPr>
            <w:tcW w:w="1000" w:type="dxa"/>
            <w:h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400</w:t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</w:tr>
      <w:tr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评分项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100.0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94.0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86.0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151.0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95.0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100.0</w:t>
            </w:r>
          </w:p>
        </w:tc>
      </w:tr>
      <w:tr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累计分</w:t>
            </w:r>
          </w:p>
        </w:tc>
        <w:tc>
          <w:tcPr>
            <w:tcW w:w="1000" w:type="dxa"/>
            <w:h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1026.0</w:t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</w:tr>
      <w:tr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总分</w:t>
            </w:r>
          </w:p>
        </w:tc>
        <w:tc>
          <w:tcPr>
            <w:tcW w:w="1000" w:type="dxa"/>
            <w:h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103</w:t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</w:tr>
      <w:tr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星级</w:t>
            </w:r>
          </w:p>
        </w:tc>
        <w:tc>
          <w:tcPr>
            <w:tcW w:w="1000" w:type="dxa"/>
            <w:h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★</w:t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h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</w:tr>
    </w:tbl>
    <w:p>
      <w:pPr>
        <w:ind w:left="1500"/>
      </w:pPr>
      <w:r>
        <w:rPr>
          <w:rFonts w:hint="eastAsia" w:ascii="宋体" w:hAnsi="宋体"/>
          <w:bCs/>
          <w:color w:val="000000"/>
          <w:sz w:val="20"/>
          <w:szCs w:val="20"/>
        </w:rPr>
        <w:t>注:控制项全部满足按40分计入总分</w:t>
      </w:r>
    </w:p>
    <w:p>
      <w:r>
        <w:rPr>
          <w:rFonts w:hint="eastAsia" w:ascii="宋体" w:hAnsi="宋体"/>
          <w:b/>
          <w:bCs/>
          <w:color w:val="000000"/>
          <w:sz w:val="24"/>
          <w:szCs w:val="24"/>
        </w:rPr>
        <w:t/>
      </w:r>
    </w:p>
    <w:p>
      <w:r>
        <w:rPr>
          <w:rFonts w:hint="eastAsia" w:ascii="宋体" w:hAnsi="宋体"/>
          <w:b/>
          <w:bCs/>
          <w:color w:val="000000"/>
          <w:sz w:val="24"/>
          <w:szCs w:val="24"/>
        </w:rPr>
        <w:t>图表分析：</w:t>
      </w:r>
    </w:p>
    <w:p>
      <w:pPr>
        <w:jc w:val="center"/>
      </w:pPr>
      <w:r>
        <w:drawing>
          <wp:inline distT="0" distB="0" distL="0" distR="0">
            <wp:extent cx="5732145" cy="3698158"/>
            <wp:effectExtent l="0" t="0" r="0" b="0"/>
            <wp:docPr id="1" name="Filename hint" descr="Alternative text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2" name="Filename hint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32145" cy="3698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br w:type="page"/>
    </w:p>
    <w:p>
      <w:pPr>
        <w:jc w:val="left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2.	详细分析</w:t>
      </w:r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安全耐久</w:t>
      </w:r>
    </w:p>
    <w:tbl>
      <w:tblPr>
        <w:jc w:val="center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</w:tblPr>
      <w:tr>
        <w:tc>
          <w:tcPr>
            <w:tcW w:w="3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名称</w:t>
            </w:r>
          </w:p>
        </w:tc>
        <w:tc>
          <w:tcPr>
            <w:tcW w:w="15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类别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编号</w:t>
            </w:r>
          </w:p>
        </w:tc>
        <w:tc>
          <w:tcPr>
            <w:tcW w:w="4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条文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满分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得分</w:t>
            </w:r>
          </w:p>
        </w:tc>
      </w:tr>
      <w:tr>
        <w:tc>
          <w:tcPr>
            <w:tcW w:w="32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安全耐久</w:t>
            </w:r>
          </w:p>
        </w:tc>
        <w:tc>
          <w:tcPr>
            <w:tcW w:w="15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控制项</w:t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4.1.1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场地安全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4.1.2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建筑结构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4.1.3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外部设施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4.1.4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建筑内部非结构构件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4.1.5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外门窗性能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4.1.6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防水防潮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4.1.7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满足紧急疏散要求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4.1.8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安全防护标识系统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4.1.9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强制性规范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评分项</w:t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4.2.1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提高抗震性能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4.2.2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防护措施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15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15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4.2.3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配件安全性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4.2.4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地面防滑设置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4.2.5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人车分流及交通照明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4.2.6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建筑适变性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18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18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4.2.7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部品部件耐久性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4.2.8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结构材料耐久性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4.2.9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装饰装修材料耐久性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9</w:t>
            </w:r>
          </w:p>
        </w:tc>
      </w:tr>
    </w:tbl>
    <w:p>
      <w:br w:type="page"/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健康舒适</w:t>
      </w:r>
    </w:p>
    <w:tbl>
      <w:tblPr>
        <w:jc w:val="center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</w:tblPr>
      <w:tr>
        <w:tc>
          <w:tcPr>
            <w:tcW w:w="3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名称</w:t>
            </w:r>
          </w:p>
        </w:tc>
        <w:tc>
          <w:tcPr>
            <w:tcW w:w="15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类别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编号</w:t>
            </w:r>
          </w:p>
        </w:tc>
        <w:tc>
          <w:tcPr>
            <w:tcW w:w="4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条文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满分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得分</w:t>
            </w:r>
          </w:p>
        </w:tc>
      </w:tr>
      <w:tr>
        <w:tc>
          <w:tcPr>
            <w:tcW w:w="32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健康舒适</w:t>
            </w:r>
          </w:p>
        </w:tc>
        <w:tc>
          <w:tcPr>
            <w:tcW w:w="15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控制项</w:t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5.1.1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空气污染物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5.1.2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避免室内空气污染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5.1.3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给排水系统合规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5.1.4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室内声环境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5.1.5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建筑照明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5.1.6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暖通设计参数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5.1.7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围护结构热工性能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5.1.8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室内热环境调节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5.1.9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地下车库CO监测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5.1.10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强制性规范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评分项</w:t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5.2.1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空气污染物浓度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12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12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5.2.2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装修材料安全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5.2.3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水质安全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5.2.4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饮用水储水卫生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9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5.2.5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给排水管线标识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5.2.6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室内噪声级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5.2.7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构件隔声性能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5.2.8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天然采光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12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12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5.2.9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室内热湿环境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5.2.10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自然通风优化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5.2.11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可调节遮阳设施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</w:t>
            </w:r>
          </w:p>
        </w:tc>
      </w:tr>
    </w:tbl>
    <w:p>
      <w:br w:type="page"/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生活便利</w:t>
      </w:r>
    </w:p>
    <w:tbl>
      <w:tblPr>
        <w:jc w:val="center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</w:tblPr>
      <w:tr>
        <w:tc>
          <w:tcPr>
            <w:tcW w:w="3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名称</w:t>
            </w:r>
          </w:p>
        </w:tc>
        <w:tc>
          <w:tcPr>
            <w:tcW w:w="15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类别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编号</w:t>
            </w:r>
          </w:p>
        </w:tc>
        <w:tc>
          <w:tcPr>
            <w:tcW w:w="4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条文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满分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得分</w:t>
            </w:r>
          </w:p>
        </w:tc>
      </w:tr>
      <w:tr>
        <w:tc>
          <w:tcPr>
            <w:tcW w:w="32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生活便利</w:t>
            </w:r>
          </w:p>
        </w:tc>
        <w:tc>
          <w:tcPr>
            <w:tcW w:w="15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控制项</w:t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6.1.1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无障碍步行系统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6.1.2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公共交通站点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6.1.3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电动汽车配套措施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6.1.4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自行车停放合理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6.1.5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设备管理系统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6.1.6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信息网络系统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6.1.7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强制性规范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评分项</w:t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6.2.1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公共交通便捷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6.2.2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公共区域全龄化设计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6.2.3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公共服务便利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6.2.4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城市开敞空间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6.2.5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健康场地和空间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6.2.6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能源管理系统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6.2.7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空气质量监测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6.2.8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用水计量、水质监测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6.2.9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智能服务系统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9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6.2.10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物业全过程管理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2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6.2.11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节水用水定额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6.2.12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运行效果评估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12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3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6.2.13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绿色建筑宣传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6</w:t>
            </w:r>
          </w:p>
        </w:tc>
      </w:tr>
    </w:tbl>
    <w:p>
      <w:br w:type="page"/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资源节约</w:t>
      </w:r>
    </w:p>
    <w:tbl>
      <w:tblPr>
        <w:jc w:val="center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</w:tblPr>
      <w:tr>
        <w:tc>
          <w:tcPr>
            <w:tcW w:w="35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名称</w:t>
            </w:r>
          </w:p>
        </w:tc>
        <w:tc>
          <w:tcPr>
            <w:tcW w:w="15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类别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编号</w:t>
            </w:r>
          </w:p>
        </w:tc>
        <w:tc>
          <w:tcPr>
            <w:tcW w:w="4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条文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满分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得分</w:t>
            </w:r>
          </w:p>
        </w:tc>
      </w:tr>
      <w:tr>
        <w:tc>
          <w:tcPr>
            <w:tcW w:w="35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资源节约</w:t>
            </w:r>
          </w:p>
        </w:tc>
        <w:tc>
          <w:tcPr>
            <w:tcW w:w="15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控制项</w:t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7.1.1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建筑设计优化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7.1.2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降低负荷能耗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7.1.3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温度分区设置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7.1.4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照明功率密度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7.1.5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能耗分项计量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7.1.6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电梯扶梯节能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7.1.7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水资源利用方案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7.1.8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建筑形体规则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7.1.9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建筑造型简约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7.1.10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建材本地化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7.1.11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强制性规范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评分项</w:t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7.2.1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节约集约用地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20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20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7.2.2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地下空间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12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0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7.2.3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停车场所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0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7.2.4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热工性能优化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7.2.5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空调冷热源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0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7.2.6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空调末端及输配系统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0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7.2.7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节能电气设备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7.2.8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降低建筑能耗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7.2.9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可再生能源利用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15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7.2.10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卫生器具水效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15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15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7.2.11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其他节水措施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12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12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7.2.12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景观水体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7.2.13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非传统水源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15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15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7.2.14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土建装修一体化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7.2.15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高强结构材料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7.2.16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工业化内装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7.2.17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材料循环利用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12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12</w:t>
            </w:r>
          </w:p>
        </w:tc>
      </w:tr>
      <w:tr>
        <w:tc>
          <w:tcPr>
            <w:tcW w:w="3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7.2.18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绿色建材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12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</w:tr>
    </w:tbl>
    <w:p>
      <w:br w:type="page"/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环境宜居</w:t>
      </w:r>
    </w:p>
    <w:tbl>
      <w:tblPr>
        <w:jc w:val="center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</w:tblPr>
      <w:tr>
        <w:tc>
          <w:tcPr>
            <w:tcW w:w="3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名称</w:t>
            </w:r>
          </w:p>
        </w:tc>
        <w:tc>
          <w:tcPr>
            <w:tcW w:w="15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类别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编号</w:t>
            </w:r>
          </w:p>
        </w:tc>
        <w:tc>
          <w:tcPr>
            <w:tcW w:w="4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条文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满分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得分</w:t>
            </w:r>
          </w:p>
        </w:tc>
      </w:tr>
      <w:tr>
        <w:tc>
          <w:tcPr>
            <w:tcW w:w="32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环境宜居</w:t>
            </w:r>
          </w:p>
        </w:tc>
        <w:tc>
          <w:tcPr>
            <w:tcW w:w="15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控制项</w:t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8.1.1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满足日照标准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8.1.2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室外热环境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8.1.3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绿地绿化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8.1.4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场地竖向设计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8.1.5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标识系统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8.1.6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无超标污染源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8.1.7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生活垃圾处理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8.1.8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强制性规范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—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√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评分项</w:t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8.2.1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生态环境保护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8.2.2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径流总量控制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8.2.3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绿化用地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16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16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8.2.4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室外吸烟区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9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9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8.2.5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雨水基础设施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15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15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8.2.6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环境噪声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8.2.7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光污染控制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8.2.8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场地风环境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8.2.9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降低热岛强度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7</w:t>
            </w:r>
          </w:p>
        </w:tc>
      </w:tr>
    </w:tbl>
    <w:p>
      <w:br w:type="page"/>
    </w:p>
    <w:p>
      <w:pPr>
        <w:jc w:val="center"/>
      </w:pPr>
      <w:r>
        <w:rPr>
          <w:rFonts w:hint="eastAsia" w:ascii="宋体" w:hAnsi="宋体"/>
          <w:b/>
          <w:bCs/>
          <w:color w:val="000000"/>
          <w:sz w:val="24"/>
          <w:szCs w:val="24"/>
        </w:rPr>
        <w:t>提高与创新</w:t>
      </w:r>
    </w:p>
    <w:tbl>
      <w:tblPr>
        <w:jc w:val="center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</w:tblPr>
      <w:tr>
        <w:tc>
          <w:tcPr>
            <w:tcW w:w="3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名称</w:t>
            </w:r>
          </w:p>
        </w:tc>
        <w:tc>
          <w:tcPr>
            <w:tcW w:w="15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类别</w:t>
            </w:r>
          </w:p>
        </w:tc>
        <w:tc>
          <w:tcPr>
            <w:tcW w:w="1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编号</w:t>
            </w:r>
          </w:p>
        </w:tc>
        <w:tc>
          <w:tcPr>
            <w:tcW w:w="40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条文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满分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得分</w:t>
            </w:r>
          </w:p>
        </w:tc>
      </w:tr>
      <w:tr>
        <w:tc>
          <w:tcPr>
            <w:tcW w:w="32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提高与创新</w:t>
            </w:r>
          </w:p>
        </w:tc>
        <w:tc>
          <w:tcPr>
            <w:tcW w:w="1500" w:type="dxa"/>
            <w:vMerge w:val="restart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评分项</w:t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9.2.1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能耗高要求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30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20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9.2.2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因地制宜建设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30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15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9.2.3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电力交互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20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20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9.2.4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绿容率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9.2.5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工业化建造要求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9.2.6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BIM技术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15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5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9.2.7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建筑碳排放量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30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17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9.2.8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绿色施工管理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20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16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9.2.9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保险产品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30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20</w:t>
            </w:r>
          </w:p>
        </w:tc>
      </w:tr>
      <w:tr>
        <w:tc>
          <w:tcPr>
            <w:tcW w:w="32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500" w:type="dxa"/>
            <w:vMerge w:val="continue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/>
            </w:r>
          </w:p>
        </w:tc>
        <w:tc>
          <w:tcPr>
            <w:tcW w:w="1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9.2.10</w:t>
            </w:r>
          </w:p>
        </w:tc>
        <w:tc>
          <w:tcPr>
            <w:tcW w:w="4000" w:type="dxa"/>
            <w:vAlign w:val="center"/>
          </w:tcPr>
          <w:p>
            <w:pPr>
              <w:jc w:val="left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其他创新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40</w:t>
            </w:r>
          </w:p>
        </w:tc>
        <w:tc>
          <w:tcPr>
            <w:tcW w:w="1200" w:type="dxa"/>
            <w:vAlign w:val="center"/>
          </w:tcPr>
          <w:p>
            <w:pPr>
              <w:jc w:val="center"/>
            </w:pPr>
            <w:r>
              <w:rPr>
                <w:rFonts w:hint="eastAsia" w:ascii="宋体" w:hAnsi="宋体"/>
                <w:bCs/>
                <w:color w:val="000000"/>
                <w:sz w:val="20"/>
                <w:szCs w:val="20"/>
              </w:rPr>
              <w:t>30</w:t>
            </w:r>
          </w:p>
        </w:tc>
      </w:tr>
    </w:tbl>
    <w:sectPr>
      <w:headerReference w:type="default" r:id="rId3"/>
      <w:footerReference w:type="default" r:id="rId6"/>
      <w:pgSz w:w="11907" w:h="16839" w:code="9"/>
      <w:pgMar w:top="5" w:right="1440" w:bottom="5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15="http://schemas.microsoft.com/office/word/2012/wordml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wp14="http://schemas.microsoft.com/office/word/2010/wordprocessingDrawing" xmlns:ns32="http://schemas.openxmlformats.org/drawingml/2006/compatibility" xmlns:ns33="http://schemas.openxmlformats.org/drawingml/2006/lockedCanvas">
  <w:p>
    <w:pPr>
      <w:jc w:val="right"/>
    </w:pPr>
    <w:r>
      <w:rPr>
        <w:rFonts w:hint="eastAsia" w:ascii="宋体" w:hAnsi="宋体"/>
        <w:bCs/>
        <w:color w:val="000000"/>
        <w:sz w:val="20"/>
        <w:szCs w:val="20"/>
      </w:rPr>
    </w:r>
    <w:r>
      <w:fldChar w:fldCharType="begin"/>
    </w:r>
    <w:r>
      <w:instrText xml:space="preserve">PAGE  \* MERGEFORMAT </w:instrText>
    </w:r>
    <w:r>
      <w:fldChar w:fldCharType="end"/>
    </w:r>
    <w:r>
      <w:t xml:space="preserve">/</w:t>
    </w:r>
    <w:r>
      <w:fldChar w:fldCharType="begin"/>
    </w:r>
    <w:r>
      <w:instrText xml:space="preserve">NUMPAGES  \* MERGEFORMAT </w:instrText>
    </w:r>
    <w:r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15="http://schemas.microsoft.com/office/word/2012/wordml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wp14="http://schemas.microsoft.com/office/word/2010/wordprocessingDrawing" xmlns:ns32="http://schemas.openxmlformats.org/drawingml/2006/compatibility" xmlns:ns33="http://schemas.openxmlformats.org/drawingml/2006/lockedCanvas">
  <w:p>
    <w:pPr>
      <w:jc w:val="center"/>
    </w:pPr>
    <w:r>
      <w:t/>
    </w:r>
  </w:p>
</w:hdr>
</file>

<file path=word/settings.xml><?xml version="1.0" encoding="utf-8"?>
<w:settings xmlns:w="http://schemas.openxmlformats.org/wordprocessingml/2006/main" xmlns:m="http://schemas.openxmlformats.org/officeDocument/2006/math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15="http://schemas.microsoft.com/office/word/2012/wordml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wp14="http://schemas.microsoft.com/office/word/2010/wordprocessingDrawing" xmlns:ns32="http://schemas.openxmlformats.org/drawingml/2006/compatibility" xmlns:ns33="http://schemas.openxmlformats.org/drawingml/2006/lockedCanvas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r="http://schemas.openxmlformats.org/officeDocument/2006/relationships" xmlns:w14="http://schemas.microsoft.com/office/word/2010/wordml" xmlns:wp="http://schemas.openxmlformats.org/drawingml/2006/wordprocessingDrawing" xmlns:a="http://schemas.openxmlformats.org/drawingml/2006/main" xmlns:w15="http://schemas.microsoft.com/office/word/2012/wordml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wp14="http://schemas.microsoft.com/office/word/2010/wordprocessingDrawing" xmlns:ns32="http://schemas.openxmlformats.org/drawingml/2006/compatibility" xmlns:ns33="http://schemas.openxmlformats.org/drawingml/2006/lockedCanvas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png" Type="http://schemas.openxmlformats.org/officeDocument/2006/relationships/image" Id="rId4"/>
    <Relationship Target="media/document_image_rId5.jpeg" Type="http://schemas.openxmlformats.org/officeDocument/2006/relationships/image" Id="rId5"/>
    <Relationship Target="footer.xml" Type="http://schemas.openxmlformats.org/officeDocument/2006/relationships/footer" Id="rId6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