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5="http://schemas.microsoft.com/office/word/2012/wordml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mc="http://schemas.openxmlformats.org/markup-compatibility/2006" xmlns:ns9="http://schemas.openxmlformats.org/schemaLibrary/2006/main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ns17="urn:schemas-microsoft-com:office:excel" xmlns:o="urn:schemas-microsoft-com:office:office" xmlns:v="urn:schemas-microsoft-com:vm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>
  <w:body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48"/>
          <w:szCs w:val="48"/>
        </w:rPr>
        <w:t>槐园新忆——大荔农旅服务中心设计</w:t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36"/>
          <w:szCs w:val="36"/>
        </w:rPr>
        <w:t>绿色建筑设计专项方案</w:t>
      </w:r>
    </w:p>
    <w:p>
      <w:pPr>
        <w:jc w:val="center"/>
      </w:pPr>
      <w:r>
        <w:drawing>
          <wp:inline distT="0" distB="0" distL="0" distR="0">
            <wp:extent cx="5732145" cy="3224332"/>
            <wp:effectExtent l="0" t="0" r="0" b="0"/>
            <wp:docPr id="1" name="Filename hint" descr="Alternative text"/>
            <wp:cNvGraphicFramePr>
              <a:graphicFrameLocks noChangeAspect="true"/>
            </wp:cNvGraphicFramePr>
            <a:graphic>
              <a:graphicData uri="http://schemas.openxmlformats.org/drawingml/2006/picture">
                <pic:pic>
                  <pic:nvPicPr>
                    <pic:cNvPr id="2" name="Filename hint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3224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业主单位：</w:t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设计单位：</w:t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咨询单位：</w:t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项目地址：陕西省渭南市大荔县槐园村</w:t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报告日期：2025年3月15日</w:t>
      </w:r>
    </w:p>
    <w:p>
      <w:br w:type="page"/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1.	概述</w:t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项目名称：槐园新忆——大荔农旅服务中心设计</w:t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依据标准：《绿色建筑评价标准》GB/T 50378-2019</w:t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标准要求：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安全耐久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健康舒适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生活便利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资源节约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环境宜居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提高与创新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≥30%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≥30%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≥30%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≥30%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≥30%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★</w:t>
            </w:r>
          </w:p>
        </w:tc>
        <w:tc>
          <w:tcPr>
            <w:tcW w:w="1000" w:type="dxa"/>
            <w:h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≥60</w:t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★★</w:t>
            </w:r>
          </w:p>
        </w:tc>
        <w:tc>
          <w:tcPr>
            <w:tcW w:w="1000" w:type="dxa"/>
            <w:h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≥70</w:t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★★★</w:t>
            </w:r>
          </w:p>
        </w:tc>
        <w:tc>
          <w:tcPr>
            <w:tcW w:w="1000" w:type="dxa"/>
            <w:h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≥85</w:t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</w:tr>
    </w:tbl>
    <w:p>
      <w:r>
        <w:rPr>
          <w:rFonts w:hint="eastAsia" w:ascii="宋体" w:hAnsi="宋体"/>
          <w:b/>
          <w:bCs/>
          <w:color w:val="000000"/>
          <w:sz w:val="24"/>
          <w:szCs w:val="24"/>
        </w:rPr>
        <w:t>技术要求：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175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技术指标内容</w:t>
            </w:r>
          </w:p>
        </w:tc>
        <w:tc>
          <w:tcPr>
            <w:tcW w:w="175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申报星级要求</w:t>
            </w:r>
          </w:p>
        </w:tc>
        <w:tc>
          <w:tcPr>
            <w:tcW w:w="175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自评情况</w:t>
            </w:r>
          </w:p>
        </w:tc>
        <w:tc>
          <w:tcPr>
            <w:tcW w:w="175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是否达标</w:t>
            </w:r>
          </w:p>
        </w:tc>
      </w:tr>
      <w:tr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围护结构热工性能的提高比例或建筑供暖空调负荷降低比例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围护结构提高10%或负荷降低10%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围护结构提高20%或负荷降低10%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是</w:t>
            </w:r>
          </w:p>
        </w:tc>
      </w:tr>
      <w:tr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节水器具用水效率等级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2级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2级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是</w:t>
            </w:r>
          </w:p>
        </w:tc>
      </w:tr>
      <w:tr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室内主要空气污染物浓度降低比例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20%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20%</w:t>
            </w:r>
          </w:p>
        </w:tc>
        <w:tc>
          <w:tcPr>
            <w:tcW w:w="19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是</w:t>
            </w:r>
          </w:p>
        </w:tc>
      </w:tr>
    </w:tbl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评价结果：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安全耐久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健康舒适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生活便利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资源节约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环境宜居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提高与创新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控制项分值</w:t>
            </w:r>
          </w:p>
        </w:tc>
        <w:tc>
          <w:tcPr>
            <w:tcW w:w="1000" w:type="dxa"/>
            <w:h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400</w:t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74.0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75.0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58.0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107.0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67.0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5.0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累计分</w:t>
            </w:r>
          </w:p>
        </w:tc>
        <w:tc>
          <w:tcPr>
            <w:tcW w:w="1000" w:type="dxa"/>
            <w:h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786.0</w:t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总分</w:t>
            </w:r>
          </w:p>
        </w:tc>
        <w:tc>
          <w:tcPr>
            <w:tcW w:w="1000" w:type="dxa"/>
            <w:h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79</w:t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星级</w:t>
            </w:r>
          </w:p>
        </w:tc>
        <w:tc>
          <w:tcPr>
            <w:tcW w:w="1000" w:type="dxa"/>
            <w:h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基本级</w:t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</w:tr>
    </w:tbl>
    <w:p>
      <w:pPr>
        <w:ind w:left="1500"/>
      </w:pPr>
      <w:r>
        <w:rPr>
          <w:rFonts w:hint="eastAsia" w:ascii="宋体" w:hAnsi="宋体"/>
          <w:bCs/>
          <w:color w:val="000000"/>
          <w:sz w:val="20"/>
          <w:szCs w:val="20"/>
        </w:rPr>
        <w:t>注:控制项全部满足按40分计入总分</w:t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图表分析：</w:t>
      </w:r>
    </w:p>
    <w:p>
      <w:pPr>
        <w:jc w:val="center"/>
      </w:pPr>
      <w:r>
        <w:drawing>
          <wp:inline distT="0" distB="0" distL="0" distR="0">
            <wp:extent cx="5732145" cy="3698158"/>
            <wp:effectExtent l="0" t="0" r="0" b="0"/>
            <wp:docPr id="1" name="Filename hint" descr="Alternative text"/>
            <wp:cNvGraphicFramePr>
              <a:graphicFrameLocks noChangeAspect="true"/>
            </wp:cNvGraphicFramePr>
            <a:graphic>
              <a:graphicData uri="http://schemas.openxmlformats.org/drawingml/2006/picture">
                <pic:pic>
                  <pic:nvPicPr>
                    <pic:cNvPr id="2" name="Filename hint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3698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r w:type="page"/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2.	详细分析</w:t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安全耐久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得分</w:t>
            </w:r>
          </w:p>
        </w:tc>
      </w:tr>
      <w:t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安全耐久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场地安全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建筑结构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外部设施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建筑内部非结构构件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外门窗性能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防水防潮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满足紧急疏散要求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安全防护标识系统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提高抗震性能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防护措施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配件安全性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地面防滑设置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人车分流及交通照明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建筑适变性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部品部件耐久性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结构材料耐久性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装饰装修材料耐久性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</w:tr>
    </w:tbl>
    <w:p>
      <w:br w:type="page"/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健康舒适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得分</w:t>
            </w:r>
          </w:p>
        </w:tc>
      </w:tr>
      <w:t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健康舒适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空气污染物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避免室内空气污染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给排水系统合规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室内声环境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建筑照明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暖通设计参数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围护结构热工性能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室内热环境调节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地下车库CO监测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空气污染物浓度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装修材料安全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水质安全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饮用水储水卫生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给排水管线标识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室内噪声级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构件隔声性能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天然采光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室内热湿环境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5.2.10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自然通风优化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5.2.11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可调节遮阳设施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</w:tbl>
    <w:p>
      <w:br w:type="page"/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生活便利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得分</w:t>
            </w:r>
          </w:p>
        </w:tc>
      </w:tr>
      <w:t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生活便利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无障碍步行系统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公共交通站点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电动汽车配套措施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自行车停放合理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设备管理系统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信息网络系统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公共交通便捷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公共区域全龄化设计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公共服务便利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城市开敞空间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健康场地和空间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能源管理系统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空气质量监测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用水计量、水质监测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智能服务系统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6.2.10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物业全过程管理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6.2.11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节水用水定额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6.2.12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运行效果评估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6.2.13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绿色建筑宣传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</w:tbl>
    <w:p>
      <w:br w:type="page"/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资源节约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得分</w:t>
            </w:r>
          </w:p>
        </w:tc>
      </w:tr>
      <w:tr>
        <w:tc>
          <w:tcPr>
            <w:tcW w:w="3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资源节约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建筑设计优化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降低负荷能耗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温度分区设置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照明功率密度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能耗分项计量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电梯扶梯节能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水资源利用方案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建筑形体规则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建筑造型简约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7.1.10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建材本地化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节约集约用地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地下空间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停车场所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热工性能优化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空调冷热源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空调末端及输配系统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节能电气设备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降低建筑能耗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可再生能源利用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7.2.10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卫生器具水效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其他节水措施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景观水体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非传统水源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土建装修一体化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高强结构材料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工业化内装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材料循环利用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绿色建材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</w:t>
            </w:r>
          </w:p>
        </w:tc>
      </w:tr>
    </w:tbl>
    <w:p>
      <w:br w:type="page"/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环境宜居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得分</w:t>
            </w:r>
          </w:p>
        </w:tc>
      </w:tr>
      <w:t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环境宜居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满足日照标准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室外热环境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绿地绿化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场地竖向设计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标识系统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无超标污染源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生活垃圾处理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生态环境保护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径流总量控制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绿化用地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16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16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室外吸烟区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雨水基础设施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环境噪声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光污染控制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场地风环境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降低热岛强度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</w:tr>
    </w:tbl>
    <w:p>
      <w:br w:type="page"/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提高与创新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得分</w:t>
            </w:r>
          </w:p>
        </w:tc>
      </w:tr>
      <w:t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提高与创新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能耗高要求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建筑风貌适宜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废旧场地利用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绿容率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工业化建造要求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BIM技术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建筑碳排放量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绿色施工管理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工程质量保险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9.2.10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其他创新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</w:tbl>
    <w:sectPr>
      <w:headerReference w:type="default" r:id="rId3"/>
      <w:footerReference w:type="default" r:id="rId6"/>
      <w:pgSz w:w="11907" w:h="16839" w:code="9"/>
      <w:pgMar w:top="5" w:right="1440" w:bottom="5" w:left="1440"/>
    </w:sectPr>
  </w:body>
</w:document>
</file>

<file path=word/footer.xml><?xml version="1.0" encoding="utf-8"?>
<w:ftr xmlns:w="http://schemas.openxmlformats.org/wordprocessingml/2006/main" xmlns:w15="http://schemas.microsoft.com/office/word/2012/wordml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mc="http://schemas.openxmlformats.org/markup-compatibility/2006" xmlns:ns9="http://schemas.openxmlformats.org/schemaLibrary/2006/main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ns17="urn:schemas-microsoft-com:office:excel" xmlns:o="urn:schemas-microsoft-com:office:office" xmlns:v="urn:schemas-microsoft-com:vm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>
  <w:p>
    <w:pPr>
      <w:jc w:val="right"/>
    </w:pPr>
    <w:r>
      <w:rPr>
        <w:rFonts w:hint="eastAsia" w:ascii="宋体" w:hAnsi="宋体"/>
        <w:bCs/>
        <w:color w:val="000000"/>
        <w:sz w:val="20"/>
        <w:szCs w:val="20"/>
      </w:rPr>
    </w:r>
    <w:r>
      <w:fldChar w:fldCharType="begin"/>
    </w:r>
    <w:r>
      <w:instrText xml:space="preserve">PAGE  \* MERGEFORMAT </w:instrText>
    </w:r>
    <w:r>
      <w:fldChar w:fldCharType="end"/>
    </w:r>
    <w:r>
      <w:t xml:space="preserve">/</w:t>
    </w:r>
    <w:r>
      <w:fldChar w:fldCharType="begin"/>
    </w:r>
    <w:r>
      <w:instrText xml:space="preserve">NUMPAGES  \* MERGEFORMAT </w:instrText>
    </w:r>
    <w:r>
      <w:fldChar w:fldCharType="end"/>
    </w:r>
  </w:p>
</w:ftr>
</file>

<file path=word/header.xml><?xml version="1.0" encoding="utf-8"?>
<w:hdr xmlns:w="http://schemas.openxmlformats.org/wordprocessingml/2006/main" xmlns:w15="http://schemas.microsoft.com/office/word/2012/wordml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mc="http://schemas.openxmlformats.org/markup-compatibility/2006" xmlns:ns9="http://schemas.openxmlformats.org/schemaLibrary/2006/main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ns17="urn:schemas-microsoft-com:office:excel" xmlns:o="urn:schemas-microsoft-com:office:office" xmlns:v="urn:schemas-microsoft-com:vm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>
  <w:p>
    <w:pPr>
      <w:jc w:val="center"/>
    </w:pPr>
    <w:r>
      <w:t/>
    </w:r>
  </w:p>
</w:hdr>
</file>

<file path=word/settings.xml><?xml version="1.0" encoding="utf-8"?>
<w:settings xmlns:w="http://schemas.openxmlformats.org/wordprocessingml/2006/main" xmlns:w15="http://schemas.microsoft.com/office/word/2012/wordml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mc="http://schemas.openxmlformats.org/markup-compatibility/2006" xmlns:ns9="http://schemas.openxmlformats.org/schemaLibrary/2006/main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ns17="urn:schemas-microsoft-com:office:excel" xmlns:o="urn:schemas-microsoft-com:office:office" xmlns:v="urn:schemas-microsoft-com:vm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5="http://schemas.microsoft.com/office/word/2012/wordml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mc="http://schemas.openxmlformats.org/markup-compatibility/2006" xmlns:ns9="http://schemas.openxmlformats.org/schemaLibrary/2006/main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ns17="urn:schemas-microsoft-com:office:excel" xmlns:o="urn:schemas-microsoft-com:office:office" xmlns:v="urn:schemas-microsoft-com:vm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footer.xml" Type="http://schemas.openxmlformats.org/officeDocument/2006/relationships/footer" Id="rId6"/>
</Relationships>

</file>

<file path=docProps/app.xml><?xml version="1.0" encoding="utf-8"?>
<properties:Properties xmlns:vt="http://schemas.openxmlformats.org/officeDocument/2006/docPropsVTypes" xmlns:properties="http://schemas.openxmlformats.org/officeDocument/2006/extended-properti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