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测试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基本级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经自评估，本项目控制项全部达标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76.0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88.0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57.0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163.0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75.0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23.0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总得分：Q=（Q0+Q1+Q2+Q3+Q4+Q5+QA）/10=88.2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