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绿脉延展：零界办公新地标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报告日期：2025年2月13日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项目名称：绿脉延展：零界办公新地标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50378-2024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围护结构提高20%或负荷降低15%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围护结构提高80%或负荷降低80%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绿色建材应用比例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应用比例30%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碳减排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明确全寿命期单位建筑面积碳排放强度，并明确降低碳排放强度的技术措施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全寿命期单位建筑面积碳排放强为20kgCO2/（m2·a）减碳率1%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1070.0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因地制宜建设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电力交互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保险产品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