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绿色低碳向未来--崇技北楼可持续发展改造方案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5732145" cy="347644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47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业主单位：石家庄职业技术学院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设计单位：河北北方绿野建筑设计有限公司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咨询单位：石家庄职业技术学院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项目地址：正定新区天宁路266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报告日期：2025年1月20日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项目名称：绿色低碳向未来--崇技北楼可持续发展改造方案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50378-2024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围护结构提高20%或负荷降低15%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绿色建材应用比例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应用比例30%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碳减排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明确全寿命期单位建筑面积碳排放强度，并明确降低碳排放强度的技术措施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全寿命期单位建筑面积碳排放强为38.22kgCO2/（m2·a）减碳率22%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1052.0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强制性规范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因地制宜建设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电力交互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保险产品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