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body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48"/>
          <w:szCs w:val="48"/>
        </w:rPr>
        <w:t>耕读光韵面向师生的图书馆绿色低碳改造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绿色建筑设计专项方案</w:t>
      </w:r>
    </w:p>
    <w:p>
      <w:pPr>
        <w:jc w:val="center"/>
      </w:pPr>
      <w:r>
        <w:drawing>
          <wp:inline distT="0" distB="0" distL="0" distR="0">
            <wp:extent cx="5732145" cy="432359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4323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业主单位：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设计单位：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咨询单位：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项目地址：云南农业大学</w:t>
      </w:r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报告日期：2026年3月26日</w:t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1.	概述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项目名称：耕读光韵面向师生的图书馆绿色低碳改造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依据标准：《绿色建筑评价标准》GB/T 50378-2024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标准要求：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≥30%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≥60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≥70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★★★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≥85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r>
        <w:rPr>
          <w:rFonts w:hint="eastAsia" w:ascii="宋体" w:hAnsi="宋体"/>
          <w:b/>
          <w:bCs/>
          <w:color w:val="000000"/>
          <w:sz w:val="24"/>
          <w:szCs w:val="24"/>
        </w:rPr>
        <w:t>技术要求：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技术指标内容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申报星级要求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自评情况</w:t>
            </w:r>
          </w:p>
        </w:tc>
        <w:tc>
          <w:tcPr>
            <w:tcW w:w="175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是否达标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围护结构热工性能的提高比例或建筑供暖空调负荷降低比例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围护结构提高10%或负荷降低10%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围护结构提高5%或负荷降低3%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节水器具用水效率等级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2级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室内主要空气污染物浓度降低比例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绿色建材应用比例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应用比例20%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  <w:tr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碳减排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明确全寿命期单位建筑面积碳排放强度，并明确降低碳排放强度的技术措施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全寿命期单位建筑面积碳排放强为10kgCO2/（m2·a）减碳率5%</w:t>
            </w:r>
          </w:p>
        </w:tc>
        <w:tc>
          <w:tcPr>
            <w:tcW w:w="19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是</w:t>
            </w:r>
          </w:p>
        </w:tc>
      </w:tr>
    </w:tbl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评价结果：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000" w:type="dxa"/>
            <w:vAlign w:val="center"/>
          </w:tcPr>
          <w:p>
            <w:pPr>
              <w:jc w:val="lowKashida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控制项分值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53.0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51.0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94.0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73.0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100.0</w:t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累计分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835.0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84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  <w:t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星级</w:t>
            </w:r>
          </w:p>
        </w:tc>
        <w:tc>
          <w:tcPr>
            <w:tcW w:w="1000" w:type="dxa"/>
            <w:h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★★</w:t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h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</w:tr>
    </w:tbl>
    <w:p>
      <w:pPr>
        <w:ind w:left="1500"/>
      </w:pPr>
      <w:r>
        <w:rPr>
          <w:rFonts w:hint="eastAsia" w:ascii="宋体" w:hAnsi="宋体"/>
          <w:bCs/>
          <w:color w:val="000000"/>
          <w:sz w:val="20"/>
          <w:szCs w:val="20"/>
        </w:rPr>
        <w:t>注:控制项全部满足按40分计入总分</w:t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/>
      </w:r>
    </w:p>
    <w:p>
      <w:r>
        <w:rPr>
          <w:rFonts w:hint="eastAsia" w:ascii="宋体" w:hAnsi="宋体"/>
          <w:b/>
          <w:bCs/>
          <w:color w:val="000000"/>
          <w:sz w:val="24"/>
          <w:szCs w:val="24"/>
        </w:rPr>
        <w:t>图表分析：</w:t>
      </w:r>
    </w:p>
    <w:p>
      <w:pPr>
        <w:jc w:val="center"/>
      </w:pPr>
      <w:r>
        <w:drawing>
          <wp:inline distT="0" distB="0" distL="0" distR="0">
            <wp:extent cx="5732145" cy="3698158"/>
            <wp:effectExtent l="0" t="0" r="0" b="0"/>
            <wp:docPr id="1" name="Filename hint" descr="Alternative text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" name="Filename hint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2145" cy="3698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br w:type="page"/>
    </w:p>
    <w:p>
      <w:pPr>
        <w:jc w:val="left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2.	详细分析</w:t>
      </w:r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安全耐久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安全耐久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建筑结构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外部设施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建筑内部非结构构件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外门窗性能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防水防潮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满足紧急疏散要求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安全防护标识系统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提高抗震性能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防护措施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配件安全性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地面防滑设置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人车分流及交通照明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建筑适变性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部品部件耐久性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结构材料耐久性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装饰装修材料耐久性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健康舒适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健康舒适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避免室内空气污染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给排水系统合规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室内声环境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建筑照明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暖通设计参数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围护结构热工性能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室内热环境调节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地下车库CO监测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空气污染物浓度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装修材料安全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水质安全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饮用水储水卫生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给排水管线标识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室内噪声级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构件隔声性能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天然采光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室内热湿环境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自然通风优化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可调节遮阳设施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生活便利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生活便利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无障碍步行系统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公共交通站点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电动汽车配套措施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自行车停放合理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设备管理系统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信息网络系统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公共交通便捷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公共区域全龄化设计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公共服务便利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城市开敞空间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健康场地和空间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能源管理系统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空气质量监测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用水计量、水质监测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智能服务系统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物业全过程管理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节水用水定额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运行效果评估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绿色建筑宣传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6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资源节约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资源节约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建筑设计优化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降低负荷能耗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温度分区设置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照明功率密度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能耗分项计量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电梯扶梯节能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水资源利用方案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建筑形体规则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建筑造型简约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建材本地化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7.1.11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节约集约用地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地下空间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停车场所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热工性能优化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空调冷热源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空调末端及输配系统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节能电气设备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降低建筑能耗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可再生能源利用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卫生器具水效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其他节水措施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景观水体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非传统水源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土建装修一体化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高强结构材料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工业化内装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材料循环利用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7.2.18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绿色建材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环境宜居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环境宜居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控制项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满足日照标准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室外热环境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绿地绿化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场地竖向设计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标识系统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无超标污染源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生活垃圾处理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8.1.8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强制性规范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—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√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生态环境保护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径流总量控制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绿化用地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14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室外吸烟区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雨水基础设施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环境噪声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光污染控制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场地风环境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8.2.9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降低热岛强度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</w:tbl>
    <w:p>
      <w:br w:type="page"/>
    </w:p>
    <w:p>
      <w:pPr>
        <w:jc w:val="center"/>
      </w:pPr>
      <w:r>
        <w:rPr>
          <w:rFonts w:hint="eastAsia" w:ascii="宋体" w:hAnsi="宋体"/>
          <w:b/>
          <w:bCs/>
          <w:color w:val="000000"/>
          <w:sz w:val="24"/>
          <w:szCs w:val="24"/>
        </w:rPr>
        <w:t>提高与创新</w:t>
      </w:r>
    </w:p>
    <w:tbl>
      <w:tblPr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</w:tblPr>
      <w:tr>
        <w:tc>
          <w:tcPr>
            <w:tcW w:w="3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名称</w:t>
            </w:r>
          </w:p>
        </w:tc>
        <w:tc>
          <w:tcPr>
            <w:tcW w:w="15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类别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编号</w:t>
            </w:r>
          </w:p>
        </w:tc>
        <w:tc>
          <w:tcPr>
            <w:tcW w:w="4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条文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满分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得分</w:t>
            </w:r>
          </w:p>
        </w:tc>
      </w:tr>
      <w:tr>
        <w:tc>
          <w:tcPr>
            <w:tcW w:w="32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提高与创新</w:t>
            </w:r>
          </w:p>
        </w:tc>
        <w:tc>
          <w:tcPr>
            <w:tcW w:w="150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评分项</w:t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能耗高要求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9.2.2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因地制宜建设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9.2.3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电力交互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9.2.4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绿容率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9.2.5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工业化建造要求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9.2.6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BIM技术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5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9.2.7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建筑碳排放量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9.2.8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绿色施工管理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12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9.2.9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保险产品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10</w:t>
            </w:r>
          </w:p>
        </w:tc>
      </w:tr>
      <w:tr>
        <w:tc>
          <w:tcPr>
            <w:tcW w:w="32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500" w:type="dxa"/>
            <w:vMerge w:val="continue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/>
            </w:r>
          </w:p>
        </w:tc>
        <w:tc>
          <w:tcPr>
            <w:tcW w:w="1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9.2.10</w:t>
            </w:r>
          </w:p>
        </w:tc>
        <w:tc>
          <w:tcPr>
            <w:tcW w:w="4000" w:type="dxa"/>
            <w:vAlign w:val="center"/>
          </w:tcPr>
          <w:p>
            <w:pPr>
              <w:jc w:val="left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其他创新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  <w:bCs/>
                <w:color w:val="000000"/>
                <w:sz w:val="20"/>
                <w:szCs w:val="20"/>
              </w:rPr>
              <w:t>20</w:t>
            </w:r>
          </w:p>
        </w:tc>
      </w:tr>
    </w:tbl>
    <w:sectPr>
      <w:headerReference w:type="default" r:id="rId3"/>
      <w:footerReference w:type="default" r:id="rId6"/>
      <w:pgSz w:w="11907" w:h="16839" w:code="9"/>
      <w:pgMar w:top="5" w:right="1440" w:bottom="5" w:left="1440"/>
    </w:sectPr>
  </w:body>
</w:document>
</file>

<file path=word/footer.xml><?xml version="1.0" encoding="utf-8"?>
<w:ft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right"/>
    </w:pPr>
    <w:r>
      <w:rPr>
        <w:rFonts w:hint="eastAsia" w:ascii="宋体" w:hAnsi="宋体"/>
        <w:bCs/>
        <w:color w:val="000000"/>
        <w:sz w:val="20"/>
        <w:szCs w:val="20"/>
      </w:rPr>
    </w:r>
    <w:r>
      <w:fldChar w:fldCharType="begin"/>
    </w:r>
    <w:r>
      <w:instrText xml:space="preserve">PAGE  \* MERGEFORMAT </w:instrText>
    </w:r>
    <w:r>
      <w:fldChar w:fldCharType="end"/>
    </w:r>
    <w:r>
      <w:t xml:space="preserve">/</w:t>
    </w:r>
    <w:r>
      <w:fldChar w:fldCharType="begin"/>
    </w:r>
    <w:r>
      <w:instrText xml:space="preserve">NUMPAGES  \* MERGEFORMAT </w:instrText>
    </w:r>
    <w:r>
      <w:fldChar w:fldCharType="end"/>
    </w:r>
  </w:p>
</w:ftr>
</file>

<file path=word/header.xml><?xml version="1.0" encoding="utf-8"?>
<w:hdr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p>
    <w:pPr>
      <w:jc w:val="center"/>
    </w:pPr>
    <w:r>
      <w:t/>
    </w:r>
  </w:p>
</w:hdr>
</file>

<file path=word/settings.xml><?xml version="1.0" encoding="utf-8"?>
<w:setting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p="http://schemas.openxmlformats.org/drawingml/2006/wordprocessingDrawing" xmlns:r="http://schemas.openxmlformats.org/officeDocument/2006/relationships" xmlns:a="http://schemas.openxmlformats.org/drawingml/2006/main" xmlns:w14="http://schemas.microsoft.com/office/word/2010/wordml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14="http://schemas.microsoft.com/office/word/2010/wordprocessingDrawing" xmlns:ns32="http://schemas.openxmlformats.org/drawingml/2006/compatibility" xmlns:ns33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