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绿色建筑性能评价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4"/>
          <w:szCs w:val="44"/>
        </w:rPr>
        <w:t>自评估报告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申报项目名称： Green Nest Learning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申报单位名称： 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参与单位名称：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咨询单位名称：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自评星级：  ★★★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 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填写说明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1、本报告适用于申报绿色建筑的民用建筑，由申报单位填写；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2、“达标判定”项的填写方式：满足要求的项在□中填写“√”；不满足要求的项在□中填写“×”。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3.“实际提交材料”中列表填写对应条文实际提交的材料的全称。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4. 本报告封面的“申报项目名称”、“申报单位名称”、“参与单位名称”请务必认真、仔细填写，并与申报书保持一致，如因笔误造成评审或证书制作问题，后果自负。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5.若采用本报告参考样式，可进行编辑性修改，但不应自行删除技术内容和要求。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一、自评总述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1、各类指标的评分项得分均不小于该评分项满分值的30%。√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2、全装修…………………………………………………………√</w:t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>3、技术要求：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技术指标内容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自评情况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申报星级要求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围护结构热工性能的提高比例，或建筑供暖空调负荷降低比例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围护结构提高10%或负荷降低5%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围护结构提高20%或负荷降低15%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绿色建材应用比例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碳减排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1062.4%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外窗气密性能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1级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符合国家现行相关节能设计标准的规定，且外窗洞口与外窗本体的结合部位应严密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是</w:t>
            </w:r>
          </w:p>
        </w:tc>
      </w:tr>
    </w:tbl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  <w:u w:val="single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  <w:r>
        <w:rPr>
          <w:rFonts w:hint="eastAsia" w:ascii="宋体" w:hAnsi="宋体"/>
          <w:bCs/>
          <w:color w:val="000000"/>
          <w:sz w:val="24"/>
          <w:szCs w:val="24"/>
        </w:rPr>
        <w:t>4、得分情况：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评价指标体系评分项</w:t>
      </w:r>
    </w:p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/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控制项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安全耐久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健康舒适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生活便利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资源节约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提高与创新</w:t>
            </w:r>
          </w:p>
        </w:tc>
      </w:tr>
      <w:tr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评价分值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</w:t>
            </w:r>
          </w:p>
        </w:tc>
      </w:tr>
      <w:tr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自评得分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96.0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97.0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81.0</w:t>
            </w:r>
          </w:p>
        </w:tc>
        <w:tc>
          <w:tcPr>
            <w:tcW w:w="14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136.0</w:t>
            </w:r>
          </w:p>
        </w:tc>
        <w:tc>
          <w:tcPr>
            <w:tcW w:w="12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96.0</w:t>
            </w:r>
          </w:p>
        </w:tc>
        <w:tc>
          <w:tcPr>
            <w:tcW w:w="1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100.0</w:t>
            </w:r>
          </w:p>
        </w:tc>
      </w:tr>
    </w:tbl>
    <w:p>
      <w:pPr>
        <w:jc w:val="center"/>
      </w:pPr>
      <w:r>
        <w:rPr>
          <w:rFonts w:hint="eastAsia" w:ascii="宋体" w:hAnsi="宋体"/>
          <w:bCs/>
          <w:color w:val="000000"/>
          <w:sz w:val="24"/>
          <w:szCs w:val="24"/>
        </w:rPr>
        <w:t>总得分：Q=（Q0+Q1+Q2+Q3+Q4+Q5+QA）/10=100.6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r>
        <w:rPr>
          <w:rFonts w:hint="eastAsia" w:ascii="宋体" w:hAnsi="宋体"/>
          <w:b/>
          <w:bCs/>
          <w:color w:val="000000"/>
          <w:sz w:val="28"/>
          <w:szCs w:val="28"/>
        </w:rPr>
        <w:t>二、项目情况</w:t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1、项目效果图（竣工，申报对象为部分时，应在整体中标示申报范围）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Cs/>
          <w:color w:val="000000"/>
          <w:sz w:val="30"/>
          <w:szCs w:val="30"/>
        </w:rPr>
        <w:t>2、项目总平面图（申报对象为部分时，应在整体中标示申报范围）</w:t>
      </w:r>
    </w:p>
    <w:p>
      <w:pPr>
        <w:jc w:val="center"/>
      </w:pPr>
      <w:r>
        <w:drawing>
          <wp:inline distT="0" distB="0" distL="0" distR="0">
            <wp:extent cx="1905000" cy="2667000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Cs/>
          <w:color w:val="000000"/>
          <w:sz w:val="24"/>
          <w:szCs w:val="24"/>
        </w:rPr>
        <w:t/>
      </w:r>
    </w:p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/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三、自评内容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4 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子项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2"/>
                <w:szCs w:val="22"/>
              </w:rPr>
              <w:t>条文编号</w:t>
            </w:r>
          </w:p>
        </w:tc>
        <w:tc>
          <w:tcPr>
            <w:tcW w:w="50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800" w:type="dxa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达标/得分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场地应避开滑坡、泥石流等地质危险地段，易发生洪涝地区应有可靠的防洪涝基础设施；场地应无危险化学品、易燃易爆危险源的威胁，应无电磁辐射、含氡土壤的危害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建筑结构应满足承载力和建筑使用功能要求。建筑外墙、屋面、门窗、幕墙及外保温等围护结构应满足安全、耐久和防护的要求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外遮阳、太阳能设施、空调室外机位、外墙花池等外部设施应与建筑主体结构统一设计、施工，并应具备安装、检修与维护条件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建筑内部的非结构件、设备及附属设施等应连接牢固并能适应主体结构变形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建筑外门窗必须安装牢固，其抗风压性能和水密性能应符合国家现行有关标准的规定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卫生间、浴室的地面应设置防水层，墙面、顶棚应设置防潮层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走廊、疏散通道等通行空间应满足紧急疏散、应急救护等要求，且应保持畅通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应具有安全防护的警示和引导标识相统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4.1.9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安全耐久相关技术要求应符合现行强制性工程建设规范《工程结构通用规范》GB 55001、《建筑与市政工程抗震通用规范》GB55002、《建筑与市政地基基础通用规范》GB 55003、《组合结构通用规范》GB 55004、《木结构通用规范》GB 55005、《钢结构通用规范》GB 55006、《砌体结构通用规范》GB 55007、《混凝土结构通用规范》GB 55008、《燃气工程项目规范》GB 55009、《供热工程项目规范》GB 55010、《建筑环境通用规范》GB 55016、《建筑给水排水与节水通用规范》GB 55020、《民用建筑通用规范》GB 55031、《建筑防火通用规范》GB 55037等的规定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/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√</w:t>
            </w:r>
          </w:p>
        </w:tc>
      </w:tr>
      <w:tr>
        <w:tc>
          <w:tcPr>
            <w:tcW w:w="1000" w:type="dxa"/>
            <w:v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4.2.1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采用基于性能的抗震设计并合理提高建筑的抗震性能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4.2.2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采取保障人员安全的防护措施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15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4.2.3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采用具有安全防护功能的产品或配件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4.2.4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室内外地面或路面设置防滑措施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4.2.5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采取人车分流措施，且步行和自行车交通系统有充足照明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8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4.2.6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采取提升建筑适变性的措施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14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4.2.7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采取提升建筑部品部件耐久性的措施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4.2.8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提高建筑结构材料的耐久性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</w:t>
            </w:r>
          </w:p>
        </w:tc>
      </w:tr>
      <w:tr>
        <w:tc>
          <w:tcPr>
            <w:tcW w:w="1000" w:type="dxa"/>
            <w:v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4.2.9</w:t>
            </w:r>
          </w:p>
        </w:tc>
        <w:tc>
          <w:tcPr>
            <w:tcW w:w="5000" w:type="dxa"/>
            <w:vAlign w:val="center"/>
          </w:tcPr>
          <w:p>
            <w:pPr>
              <w:spacing w:before="0" w:after="3" w:lineRule="auto"/>
              <w:jc w:val="left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合理采用耐久性好、易维护的装饰装修建筑材料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</w:t>
            </w:r>
          </w:p>
        </w:tc>
      </w:tr>
      <w:tr>
        <w:tc>
          <w:tcPr>
            <w:tcW w:w="1000" w:type="dxa"/>
            <w:hMerge w:val="restart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5000" w:type="dxa"/>
            <w:hMerge w:val="continue"/>
            <w:shd w:color="auto" w:fill="DCDCDC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100.0</w:t>
            </w:r>
          </w:p>
        </w:tc>
        <w:tc>
          <w:tcPr>
            <w:tcW w:w="800" w:type="dxa"/>
            <w:vAlign w:val="center"/>
          </w:tcPr>
          <w:p>
            <w:pPr>
              <w:spacing w:before="0" w:after="3" w:lineRule="auto"/>
              <w:jc w:val="center"/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</w:rPr>
              <w:t>96.0</w:t>
            </w:r>
          </w:p>
        </w:tc>
      </w:tr>
    </w:tbl>
    <w:sectPr>
      <w:pgSz w:w="11907" w:h="16839" w:code="9"/>
      <w:pgMar w:top="500" w:right="1440" w:bottom="100" w:left="1440"/>
    </w:sectPr>
  </w:body>
</w:document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