
<file path=[Content_Types].xml><?xml version="1.0" encoding="utf-8"?>
<Types xmlns="http://schemas.openxmlformats.org/package/2006/content-types">
  <Default Extension="xml" ContentType="application/xml"/>
  <Default Extension="jpeg" ContentType="image/jpeg"/>
  <Default Extension="JPG" ContentType="image/.jpg"/>
  <Default Extension="bmp" ContentType="image/bmp"/>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16"/>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312"/>
      </w:tblGrid>
      <w:tr w14:paraId="5563CD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25" w:hRule="atLeast"/>
          <w:jc w:val="center"/>
        </w:trPr>
        <w:tc>
          <w:tcPr>
            <w:tcW w:w="8312" w:type="dxa"/>
            <w:vAlign w:val="center"/>
          </w:tcPr>
          <w:p w14:paraId="02EC7994">
            <w:pPr>
              <w:rPr>
                <w:b/>
                <w:spacing w:val="45"/>
                <w:sz w:val="30"/>
                <w:szCs w:val="30"/>
              </w:rPr>
            </w:pPr>
            <w:bookmarkStart w:id="0" w:name="_Hlk172625491"/>
          </w:p>
          <w:p w14:paraId="4BCEBE35">
            <w:pPr>
              <w:spacing w:before="312" w:beforeLines="100"/>
              <w:jc w:val="distribute"/>
              <w:rPr>
                <w:b/>
                <w:sz w:val="72"/>
                <w:szCs w:val="52"/>
              </w:rPr>
            </w:pPr>
            <w:r>
              <w:rPr>
                <w:rFonts w:hint="eastAsia"/>
                <w:b/>
                <w:sz w:val="72"/>
                <w:szCs w:val="52"/>
              </w:rPr>
              <w:t>室外噪声模拟分析报告</w:t>
            </w:r>
          </w:p>
        </w:tc>
      </w:tr>
      <w:tr w14:paraId="73ED11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312" w:type="dxa"/>
          </w:tcPr>
          <w:p w14:paraId="70E09CD2">
            <w:pPr>
              <w:spacing w:before="312" w:beforeLines="100"/>
              <w:jc w:val="center"/>
              <w:rPr>
                <w:b/>
                <w:sz w:val="36"/>
                <w:szCs w:val="36"/>
              </w:rPr>
            </w:pPr>
            <w:bookmarkStart w:id="1" w:name="项目名称"/>
            <w:r>
              <w:rPr>
                <w:rFonts w:hint="eastAsia"/>
                <w:b/>
                <w:sz w:val="36"/>
                <w:szCs w:val="36"/>
              </w:rPr>
              <w:t>彭德怀纪念馆</w:t>
            </w:r>
            <w:bookmarkEnd w:id="1"/>
          </w:p>
        </w:tc>
      </w:tr>
      <w:tr w14:paraId="7C2477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312" w:type="dxa"/>
          </w:tcPr>
          <w:p w14:paraId="68BDE8A0">
            <w:pPr>
              <w:jc w:val="center"/>
              <w:rPr>
                <w:b/>
                <w:sz w:val="32"/>
                <w:szCs w:val="52"/>
              </w:rPr>
            </w:pPr>
            <w:r>
              <w:rPr>
                <w:rFonts w:hint="eastAsia"/>
                <w:b/>
                <w:sz w:val="32"/>
                <w:szCs w:val="52"/>
              </w:rPr>
              <w:t>设计编号：</w:t>
            </w:r>
            <w:bookmarkStart w:id="2" w:name="设计编号"/>
            <w:bookmarkEnd w:id="2"/>
            <w:r>
              <w:rPr>
                <w:rFonts w:hint="eastAsia" w:ascii="微软雅黑" w:hAnsi="微软雅黑" w:eastAsia="微软雅黑" w:cs="微软雅黑"/>
                <w:b/>
                <w:color w:val="auto"/>
                <w:sz w:val="32"/>
                <w:szCs w:val="52"/>
                <w:lang w:val="en-US" w:eastAsia="zh-CN"/>
              </w:rPr>
              <w:t>GZA80028</w:t>
            </w:r>
          </w:p>
          <w:p w14:paraId="589235BD">
            <w:pPr>
              <w:jc w:val="center"/>
              <w:rPr>
                <w:b/>
                <w:sz w:val="32"/>
                <w:szCs w:val="52"/>
              </w:rPr>
            </w:pPr>
            <w:bookmarkStart w:id="3" w:name="二维码"/>
            <w:bookmarkEnd w:id="3"/>
          </w:p>
        </w:tc>
      </w:tr>
      <w:tr w14:paraId="460185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312" w:type="dxa"/>
          </w:tcPr>
          <w:p w14:paraId="1E192733"/>
        </w:tc>
      </w:tr>
    </w:tbl>
    <w:p w14:paraId="4361CB28">
      <w:pPr>
        <w:jc w:val="center"/>
      </w:pPr>
      <w:r>
        <w:drawing>
          <wp:inline distT="0" distB="0" distL="0" distR="0">
            <wp:extent cx="1514475" cy="1514475"/>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12"/>
                    <a:stretch>
                      <a:fillRect/>
                    </a:stretch>
                  </pic:blipFill>
                  <pic:spPr>
                    <a:xfrm>
                      <a:off x="0" y="0"/>
                      <a:ext cx="1514634" cy="1514634"/>
                    </a:xfrm>
                    <a:prstGeom prst="rect">
                      <a:avLst/>
                    </a:prstGeom>
                  </pic:spPr>
                </pic:pic>
              </a:graphicData>
            </a:graphic>
          </wp:inline>
        </w:drawing>
      </w:r>
      <w:bookmarkStart w:id="63" w:name="_GoBack"/>
      <w:bookmarkEnd w:id="63"/>
    </w:p>
    <w:p w14:paraId="43E269E2"/>
    <w:p w14:paraId="19BB8E62"/>
    <w:bookmarkEnd w:id="0"/>
    <w:p w14:paraId="4B51F8B4"/>
    <w:tbl>
      <w:tblPr>
        <w:tblStyle w:val="16"/>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263"/>
        <w:gridCol w:w="456"/>
        <w:gridCol w:w="5311"/>
      </w:tblGrid>
      <w:tr w14:paraId="04D37F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22BEE696">
            <w:pPr>
              <w:spacing w:line="600" w:lineRule="exact"/>
              <w:jc w:val="distribute"/>
              <w:rPr>
                <w:sz w:val="24"/>
                <w:szCs w:val="24"/>
              </w:rPr>
            </w:pPr>
            <w:r>
              <w:rPr>
                <w:rFonts w:hint="eastAsia"/>
                <w:sz w:val="24"/>
                <w:szCs w:val="24"/>
              </w:rPr>
              <w:t>工程地点</w:t>
            </w:r>
          </w:p>
        </w:tc>
        <w:tc>
          <w:tcPr>
            <w:tcW w:w="456" w:type="dxa"/>
          </w:tcPr>
          <w:p w14:paraId="10A0D020">
            <w:pPr>
              <w:spacing w:line="600" w:lineRule="exact"/>
              <w:rPr>
                <w:sz w:val="24"/>
                <w:szCs w:val="24"/>
              </w:rPr>
            </w:pPr>
            <w:r>
              <w:rPr>
                <w:rFonts w:hint="eastAsia"/>
                <w:sz w:val="24"/>
                <w:szCs w:val="24"/>
              </w:rPr>
              <w:t>：</w:t>
            </w:r>
          </w:p>
        </w:tc>
        <w:tc>
          <w:tcPr>
            <w:tcW w:w="5311" w:type="dxa"/>
            <w:tcBorders>
              <w:top w:val="nil"/>
              <w:left w:val="nil"/>
              <w:bottom w:val="single" w:color="7E7E7E" w:themeColor="text1" w:themeTint="80" w:sz="4" w:space="0"/>
              <w:right w:val="nil"/>
            </w:tcBorders>
          </w:tcPr>
          <w:p w14:paraId="045D27FB">
            <w:pPr>
              <w:spacing w:line="600" w:lineRule="exact"/>
              <w:jc w:val="center"/>
              <w:rPr>
                <w:sz w:val="24"/>
                <w:szCs w:val="24"/>
              </w:rPr>
            </w:pPr>
            <w:r>
              <w:rPr>
                <w:rFonts w:hint="eastAsia"/>
                <w:lang w:val="en-US" w:eastAsia="zh-CN"/>
              </w:rPr>
              <w:t>湖南—</w:t>
            </w:r>
            <w:r>
              <w:t>湘潭</w:t>
            </w:r>
          </w:p>
        </w:tc>
      </w:tr>
      <w:tr w14:paraId="00E4CD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40C2EDFD">
            <w:pPr>
              <w:spacing w:line="600" w:lineRule="exact"/>
              <w:jc w:val="distribute"/>
              <w:rPr>
                <w:sz w:val="24"/>
                <w:szCs w:val="24"/>
              </w:rPr>
            </w:pPr>
            <w:r>
              <w:rPr>
                <w:rFonts w:hint="eastAsia"/>
                <w:sz w:val="24"/>
                <w:szCs w:val="24"/>
              </w:rPr>
              <w:t>建设单位</w:t>
            </w:r>
          </w:p>
        </w:tc>
        <w:tc>
          <w:tcPr>
            <w:tcW w:w="456" w:type="dxa"/>
          </w:tcPr>
          <w:p w14:paraId="1130DA6E">
            <w:pPr>
              <w:spacing w:line="600" w:lineRule="exact"/>
              <w:rPr>
                <w:sz w:val="24"/>
                <w:szCs w:val="24"/>
              </w:rPr>
            </w:pPr>
            <w:r>
              <w:rPr>
                <w:rFonts w:hint="eastAsia"/>
                <w:sz w:val="24"/>
                <w:szCs w:val="24"/>
              </w:rPr>
              <w:t>：</w:t>
            </w:r>
          </w:p>
        </w:tc>
        <w:tc>
          <w:tcPr>
            <w:tcW w:w="5311" w:type="dxa"/>
            <w:tcBorders>
              <w:top w:val="nil"/>
              <w:left w:val="nil"/>
              <w:bottom w:val="single" w:color="7E7E7E" w:themeColor="text1" w:themeTint="80" w:sz="4" w:space="0"/>
              <w:right w:val="nil"/>
            </w:tcBorders>
          </w:tcPr>
          <w:p w14:paraId="1A38676F">
            <w:pPr>
              <w:spacing w:line="600" w:lineRule="exact"/>
              <w:jc w:val="center"/>
              <w:rPr>
                <w:sz w:val="24"/>
                <w:szCs w:val="24"/>
              </w:rPr>
            </w:pPr>
            <w:bookmarkStart w:id="4" w:name="建设单位"/>
            <w:bookmarkEnd w:id="4"/>
          </w:p>
        </w:tc>
      </w:tr>
      <w:tr w14:paraId="56E91E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6499D510">
            <w:pPr>
              <w:spacing w:line="600" w:lineRule="exact"/>
              <w:jc w:val="distribute"/>
              <w:rPr>
                <w:sz w:val="24"/>
                <w:szCs w:val="24"/>
              </w:rPr>
            </w:pPr>
            <w:r>
              <w:rPr>
                <w:rFonts w:hint="eastAsia"/>
                <w:sz w:val="24"/>
                <w:szCs w:val="24"/>
              </w:rPr>
              <w:t>设计单位</w:t>
            </w:r>
          </w:p>
        </w:tc>
        <w:tc>
          <w:tcPr>
            <w:tcW w:w="456" w:type="dxa"/>
          </w:tcPr>
          <w:p w14:paraId="7C8FB302">
            <w:pPr>
              <w:spacing w:line="600" w:lineRule="exact"/>
              <w:rPr>
                <w:sz w:val="24"/>
                <w:szCs w:val="24"/>
              </w:rPr>
            </w:pPr>
            <w:r>
              <w:rPr>
                <w:rFonts w:hint="eastAsia"/>
                <w:sz w:val="24"/>
                <w:szCs w:val="24"/>
              </w:rPr>
              <w:t>：</w:t>
            </w:r>
          </w:p>
        </w:tc>
        <w:tc>
          <w:tcPr>
            <w:tcW w:w="5311" w:type="dxa"/>
            <w:tcBorders>
              <w:top w:val="single" w:color="7E7E7E" w:themeColor="text1" w:themeTint="80" w:sz="4" w:space="0"/>
              <w:left w:val="nil"/>
              <w:bottom w:val="single" w:color="7E7E7E" w:themeColor="text1" w:themeTint="80" w:sz="4" w:space="0"/>
              <w:right w:val="nil"/>
            </w:tcBorders>
            <w:shd w:val="clear" w:color="auto" w:fill="auto"/>
            <w:vAlign w:val="top"/>
          </w:tcPr>
          <w:p w14:paraId="2FD3441F">
            <w:pPr>
              <w:spacing w:line="600" w:lineRule="exact"/>
              <w:jc w:val="center"/>
              <w:rPr>
                <w:rFonts w:hint="eastAsia" w:ascii="微软雅黑" w:hAnsi="微软雅黑" w:eastAsia="微软雅黑" w:cs="微软雅黑"/>
                <w:kern w:val="0"/>
                <w:sz w:val="24"/>
                <w:szCs w:val="21"/>
                <w:lang w:val="en-US" w:eastAsia="zh-CN" w:bidi="ar-SA"/>
              </w:rPr>
            </w:pPr>
            <w:bookmarkStart w:id="5" w:name="设计单位"/>
            <w:bookmarkEnd w:id="5"/>
            <w:r>
              <w:rPr>
                <w:rFonts w:hint="eastAsia" w:ascii="微软雅黑" w:hAnsi="微软雅黑" w:eastAsia="微软雅黑"/>
                <w:kern w:val="0"/>
                <w:sz w:val="24"/>
                <w:lang w:val="en-US" w:eastAsia="zh-CN"/>
              </w:rPr>
              <w:t>湖南城建职业技术学院</w:t>
            </w:r>
          </w:p>
        </w:tc>
      </w:tr>
      <w:tr w14:paraId="231E4B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4840E1D0">
            <w:pPr>
              <w:spacing w:line="600" w:lineRule="exact"/>
              <w:jc w:val="distribute"/>
              <w:rPr>
                <w:sz w:val="24"/>
                <w:szCs w:val="24"/>
              </w:rPr>
            </w:pPr>
            <w:r>
              <w:rPr>
                <w:rFonts w:hint="eastAsia"/>
                <w:sz w:val="24"/>
                <w:szCs w:val="24"/>
              </w:rPr>
              <w:t>设计人</w:t>
            </w:r>
          </w:p>
        </w:tc>
        <w:tc>
          <w:tcPr>
            <w:tcW w:w="456" w:type="dxa"/>
          </w:tcPr>
          <w:p w14:paraId="7C23B476">
            <w:pPr>
              <w:spacing w:line="600" w:lineRule="exact"/>
              <w:rPr>
                <w:sz w:val="24"/>
                <w:szCs w:val="24"/>
              </w:rPr>
            </w:pPr>
            <w:r>
              <w:rPr>
                <w:rFonts w:hint="eastAsia"/>
                <w:sz w:val="24"/>
                <w:szCs w:val="24"/>
              </w:rPr>
              <w:t>：</w:t>
            </w:r>
          </w:p>
        </w:tc>
        <w:tc>
          <w:tcPr>
            <w:tcW w:w="5311" w:type="dxa"/>
            <w:tcBorders>
              <w:top w:val="single" w:color="7E7E7E" w:themeColor="text1" w:themeTint="80" w:sz="4" w:space="0"/>
              <w:left w:val="nil"/>
              <w:bottom w:val="single" w:color="7E7E7E" w:themeColor="text1" w:themeTint="80" w:sz="4" w:space="0"/>
              <w:right w:val="nil"/>
            </w:tcBorders>
            <w:shd w:val="clear" w:color="auto" w:fill="auto"/>
            <w:vAlign w:val="top"/>
          </w:tcPr>
          <w:p w14:paraId="00CF1326">
            <w:pPr>
              <w:spacing w:line="600" w:lineRule="exact"/>
              <w:jc w:val="center"/>
              <w:rPr>
                <w:rFonts w:hint="eastAsia" w:ascii="微软雅黑" w:hAnsi="微软雅黑" w:eastAsia="微软雅黑" w:cs="微软雅黑"/>
                <w:kern w:val="0"/>
                <w:sz w:val="24"/>
                <w:szCs w:val="21"/>
                <w:lang w:val="en-US" w:eastAsia="zh-CN" w:bidi="ar-SA"/>
              </w:rPr>
            </w:pPr>
            <w:r>
              <w:rPr>
                <w:rFonts w:hint="eastAsia" w:ascii="微软雅黑" w:hAnsi="微软雅黑" w:eastAsia="微软雅黑"/>
                <w:kern w:val="0"/>
                <w:sz w:val="24"/>
                <w:lang w:val="en-US" w:eastAsia="zh-CN"/>
              </w:rPr>
              <w:t>肖一敏</w:t>
            </w:r>
          </w:p>
        </w:tc>
      </w:tr>
      <w:tr w14:paraId="1EEE05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5C3339E6">
            <w:pPr>
              <w:spacing w:line="600" w:lineRule="exact"/>
              <w:jc w:val="distribute"/>
              <w:rPr>
                <w:sz w:val="24"/>
                <w:szCs w:val="24"/>
              </w:rPr>
            </w:pPr>
            <w:r>
              <w:rPr>
                <w:rFonts w:hint="eastAsia"/>
                <w:sz w:val="24"/>
                <w:szCs w:val="24"/>
              </w:rPr>
              <w:t>校对人</w:t>
            </w:r>
          </w:p>
        </w:tc>
        <w:tc>
          <w:tcPr>
            <w:tcW w:w="456" w:type="dxa"/>
          </w:tcPr>
          <w:p w14:paraId="344106A8">
            <w:pPr>
              <w:spacing w:line="600" w:lineRule="exact"/>
              <w:rPr>
                <w:sz w:val="24"/>
                <w:szCs w:val="24"/>
              </w:rPr>
            </w:pPr>
            <w:r>
              <w:rPr>
                <w:rFonts w:hint="eastAsia"/>
                <w:sz w:val="24"/>
                <w:szCs w:val="24"/>
              </w:rPr>
              <w:t>：</w:t>
            </w:r>
          </w:p>
        </w:tc>
        <w:tc>
          <w:tcPr>
            <w:tcW w:w="5311" w:type="dxa"/>
            <w:tcBorders>
              <w:top w:val="single" w:color="7E7E7E" w:themeColor="text1" w:themeTint="80" w:sz="4" w:space="0"/>
              <w:left w:val="nil"/>
              <w:bottom w:val="single" w:color="7E7E7E" w:themeColor="text1" w:themeTint="80" w:sz="4" w:space="0"/>
              <w:right w:val="nil"/>
            </w:tcBorders>
            <w:shd w:val="clear" w:color="auto" w:fill="auto"/>
            <w:vAlign w:val="top"/>
          </w:tcPr>
          <w:p w14:paraId="3DA931F3">
            <w:pPr>
              <w:spacing w:line="600" w:lineRule="exact"/>
              <w:jc w:val="center"/>
              <w:rPr>
                <w:rFonts w:hint="eastAsia" w:ascii="微软雅黑" w:hAnsi="微软雅黑" w:eastAsia="微软雅黑" w:cs="微软雅黑"/>
                <w:kern w:val="0"/>
                <w:sz w:val="24"/>
                <w:szCs w:val="21"/>
                <w:lang w:val="en-US" w:eastAsia="zh-CN" w:bidi="ar-SA"/>
              </w:rPr>
            </w:pPr>
            <w:r>
              <w:rPr>
                <w:rFonts w:hint="eastAsia" w:ascii="微软雅黑" w:hAnsi="微软雅黑" w:eastAsia="微软雅黑"/>
                <w:kern w:val="0"/>
                <w:sz w:val="24"/>
                <w:lang w:val="en-US" w:eastAsia="zh-CN"/>
              </w:rPr>
              <w:t>胡雅婷</w:t>
            </w:r>
          </w:p>
        </w:tc>
      </w:tr>
      <w:tr w14:paraId="3CD37A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2C5E913B">
            <w:pPr>
              <w:spacing w:line="600" w:lineRule="exact"/>
              <w:jc w:val="distribute"/>
              <w:rPr>
                <w:sz w:val="24"/>
                <w:szCs w:val="24"/>
              </w:rPr>
            </w:pPr>
            <w:r>
              <w:rPr>
                <w:rFonts w:hint="eastAsia"/>
                <w:sz w:val="24"/>
                <w:szCs w:val="24"/>
              </w:rPr>
              <w:t>审定人</w:t>
            </w:r>
          </w:p>
        </w:tc>
        <w:tc>
          <w:tcPr>
            <w:tcW w:w="456" w:type="dxa"/>
          </w:tcPr>
          <w:p w14:paraId="42F6440C">
            <w:pPr>
              <w:spacing w:line="600" w:lineRule="exact"/>
              <w:rPr>
                <w:sz w:val="24"/>
                <w:szCs w:val="24"/>
              </w:rPr>
            </w:pPr>
            <w:r>
              <w:rPr>
                <w:rFonts w:hint="eastAsia"/>
                <w:sz w:val="24"/>
                <w:szCs w:val="24"/>
              </w:rPr>
              <w:t>：</w:t>
            </w:r>
          </w:p>
        </w:tc>
        <w:tc>
          <w:tcPr>
            <w:tcW w:w="5311" w:type="dxa"/>
            <w:tcBorders>
              <w:top w:val="single" w:color="7E7E7E" w:themeColor="text1" w:themeTint="80" w:sz="4" w:space="0"/>
              <w:left w:val="nil"/>
              <w:bottom w:val="single" w:color="7E7E7E" w:themeColor="text1" w:themeTint="80" w:sz="4" w:space="0"/>
              <w:right w:val="nil"/>
            </w:tcBorders>
            <w:shd w:val="clear" w:color="auto" w:fill="auto"/>
            <w:vAlign w:val="top"/>
          </w:tcPr>
          <w:p w14:paraId="7C9D625D">
            <w:pPr>
              <w:spacing w:line="600" w:lineRule="exact"/>
              <w:jc w:val="center"/>
              <w:rPr>
                <w:rFonts w:hint="eastAsia" w:ascii="微软雅黑" w:hAnsi="微软雅黑" w:eastAsia="微软雅黑" w:cs="微软雅黑"/>
                <w:kern w:val="0"/>
                <w:sz w:val="24"/>
                <w:szCs w:val="21"/>
                <w:lang w:val="en-US" w:eastAsia="zh-CN" w:bidi="ar-SA"/>
              </w:rPr>
            </w:pPr>
            <w:r>
              <w:rPr>
                <w:rFonts w:hint="eastAsia" w:ascii="微软雅黑" w:hAnsi="微软雅黑" w:eastAsia="微软雅黑"/>
                <w:kern w:val="0"/>
                <w:sz w:val="24"/>
                <w:lang w:val="en-US" w:eastAsia="zh-CN"/>
              </w:rPr>
              <w:t>叶颖萱</w:t>
            </w:r>
          </w:p>
        </w:tc>
      </w:tr>
      <w:tr w14:paraId="61C6B7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18001C14">
            <w:pPr>
              <w:spacing w:line="600" w:lineRule="exact"/>
              <w:jc w:val="distribute"/>
              <w:rPr>
                <w:sz w:val="24"/>
                <w:szCs w:val="24"/>
              </w:rPr>
            </w:pPr>
            <w:r>
              <w:rPr>
                <w:rFonts w:hint="eastAsia"/>
                <w:sz w:val="24"/>
                <w:szCs w:val="24"/>
              </w:rPr>
              <w:t>报告日期</w:t>
            </w:r>
          </w:p>
        </w:tc>
        <w:tc>
          <w:tcPr>
            <w:tcW w:w="456" w:type="dxa"/>
          </w:tcPr>
          <w:p w14:paraId="5741DC91">
            <w:pPr>
              <w:spacing w:line="600" w:lineRule="exact"/>
              <w:rPr>
                <w:sz w:val="24"/>
                <w:szCs w:val="24"/>
              </w:rPr>
            </w:pPr>
            <w:r>
              <w:rPr>
                <w:rFonts w:hint="eastAsia"/>
                <w:sz w:val="24"/>
                <w:szCs w:val="24"/>
              </w:rPr>
              <w:t>:</w:t>
            </w:r>
          </w:p>
        </w:tc>
        <w:tc>
          <w:tcPr>
            <w:tcW w:w="5311" w:type="dxa"/>
            <w:tcBorders>
              <w:top w:val="single" w:color="7E7E7E" w:themeColor="text1" w:themeTint="80" w:sz="4" w:space="0"/>
              <w:left w:val="nil"/>
              <w:bottom w:val="single" w:color="7E7E7E" w:themeColor="text1" w:themeTint="80" w:sz="4" w:space="0"/>
              <w:right w:val="nil"/>
            </w:tcBorders>
          </w:tcPr>
          <w:p w14:paraId="14B79473">
            <w:pPr>
              <w:spacing w:line="600" w:lineRule="exact"/>
              <w:jc w:val="center"/>
              <w:rPr>
                <w:sz w:val="24"/>
                <w:szCs w:val="24"/>
              </w:rPr>
            </w:pPr>
            <w:bookmarkStart w:id="6" w:name="计算日期"/>
            <w:bookmarkStart w:id="7" w:name="报告日期"/>
            <w:r>
              <w:rPr>
                <w:rFonts w:hint="eastAsia"/>
                <w:sz w:val="24"/>
                <w:szCs w:val="24"/>
              </w:rPr>
              <w:t>2025-12-29</w:t>
            </w:r>
            <w:bookmarkEnd w:id="6"/>
            <w:bookmarkEnd w:id="7"/>
          </w:p>
        </w:tc>
      </w:tr>
    </w:tbl>
    <w:p w14:paraId="63767A1C">
      <w:pPr>
        <w:rPr>
          <w:rFonts w:asciiTheme="minorHAnsi" w:hAnsiTheme="minorHAnsi" w:eastAsiaTheme="minorEastAsia" w:cstheme="minorBidi"/>
          <w:szCs w:val="22"/>
        </w:rPr>
      </w:pPr>
    </w:p>
    <w:p w14:paraId="2441341E"/>
    <w:p w14:paraId="637B0FEC"/>
    <w:p w14:paraId="74791E9D"/>
    <w:tbl>
      <w:tblPr>
        <w:tblStyle w:val="16"/>
        <w:tblW w:w="8340" w:type="dxa"/>
        <w:jc w:val="center"/>
        <w:tblBorders>
          <w:top w:val="single" w:color="auto" w:sz="2"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75"/>
        <w:gridCol w:w="3108"/>
        <w:gridCol w:w="3957"/>
      </w:tblGrid>
      <w:tr w14:paraId="444CBDAA">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jc w:val="center"/>
        </w:trPr>
        <w:tc>
          <w:tcPr>
            <w:tcW w:w="1275" w:type="dxa"/>
            <w:tcBorders>
              <w:top w:val="single" w:color="auto" w:sz="2" w:space="0"/>
              <w:left w:val="nil"/>
              <w:bottom w:val="nil"/>
              <w:right w:val="nil"/>
            </w:tcBorders>
            <w:vAlign w:val="bottom"/>
          </w:tcPr>
          <w:p w14:paraId="65986452">
            <w:pPr>
              <w:spacing w:before="156" w:beforeLines="50" w:line="180" w:lineRule="exact"/>
              <w:jc w:val="distribute"/>
              <w:rPr>
                <w:sz w:val="18"/>
                <w:szCs w:val="18"/>
              </w:rPr>
            </w:pPr>
            <w:r>
              <w:rPr>
                <w:rFonts w:hint="eastAsia"/>
                <w:sz w:val="18"/>
                <w:szCs w:val="18"/>
              </w:rPr>
              <w:t>采用软件</w:t>
            </w:r>
          </w:p>
        </w:tc>
        <w:tc>
          <w:tcPr>
            <w:tcW w:w="3108" w:type="dxa"/>
            <w:tcBorders>
              <w:top w:val="single" w:color="auto" w:sz="2" w:space="0"/>
              <w:left w:val="nil"/>
              <w:bottom w:val="nil"/>
              <w:right w:val="nil"/>
            </w:tcBorders>
            <w:vAlign w:val="bottom"/>
          </w:tcPr>
          <w:p w14:paraId="224D7E39">
            <w:pPr>
              <w:spacing w:line="180" w:lineRule="exact"/>
              <w:ind w:right="-105" w:rightChars="-50"/>
              <w:rPr>
                <w:sz w:val="18"/>
                <w:szCs w:val="18"/>
              </w:rPr>
            </w:pPr>
            <w:r>
              <w:rPr>
                <w:rFonts w:hint="eastAsia"/>
                <w:sz w:val="18"/>
                <w:szCs w:val="18"/>
              </w:rPr>
              <w:t>：</w:t>
            </w:r>
            <w:bookmarkStart w:id="8" w:name="采用软件"/>
            <w:bookmarkStart w:id="9" w:name="软件全称"/>
            <w:r>
              <w:rPr>
                <w:rFonts w:hint="eastAsia"/>
                <w:sz w:val="18"/>
                <w:szCs w:val="18"/>
              </w:rPr>
              <w:t>建筑声环境SEDU2025</w:t>
            </w:r>
            <w:bookmarkEnd w:id="8"/>
            <w:bookmarkEnd w:id="9"/>
          </w:p>
        </w:tc>
        <w:tc>
          <w:tcPr>
            <w:tcW w:w="3957" w:type="dxa"/>
            <w:vMerge w:val="restart"/>
            <w:tcBorders>
              <w:top w:val="single" w:color="auto" w:sz="2" w:space="0"/>
              <w:left w:val="nil"/>
              <w:bottom w:val="nil"/>
              <w:right w:val="nil"/>
            </w:tcBorders>
            <w:vAlign w:val="bottom"/>
          </w:tcPr>
          <w:p w14:paraId="11F021C8">
            <w:pPr>
              <w:ind w:left="-246" w:leftChars="-117"/>
              <w:jc w:val="right"/>
              <w:rPr>
                <w:color w:val="767171" w:themeColor="background2" w:themeShade="80"/>
                <w:sz w:val="18"/>
                <w:szCs w:val="18"/>
              </w:rPr>
            </w:pPr>
            <w:r>
              <w:rPr>
                <w:sz w:val="18"/>
                <w:szCs w:val="18"/>
              </w:rPr>
              <w:drawing>
                <wp:inline distT="0" distB="0" distL="0" distR="0">
                  <wp:extent cx="1958340" cy="509270"/>
                  <wp:effectExtent l="0" t="0" r="3810" b="5080"/>
                  <wp:docPr id="1441970414" name="图片 1441970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970414" name="图片 14419704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958340" cy="509270"/>
                          </a:xfrm>
                          <a:prstGeom prst="rect">
                            <a:avLst/>
                          </a:prstGeom>
                          <a:noFill/>
                          <a:ln>
                            <a:noFill/>
                          </a:ln>
                        </pic:spPr>
                      </pic:pic>
                    </a:graphicData>
                  </a:graphic>
                </wp:inline>
              </w:drawing>
            </w:r>
          </w:p>
        </w:tc>
      </w:tr>
      <w:tr w14:paraId="385D94B6">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jc w:val="center"/>
        </w:trPr>
        <w:tc>
          <w:tcPr>
            <w:tcW w:w="1275" w:type="dxa"/>
            <w:tcBorders>
              <w:top w:val="nil"/>
              <w:left w:val="nil"/>
              <w:bottom w:val="nil"/>
              <w:right w:val="nil"/>
            </w:tcBorders>
            <w:vAlign w:val="bottom"/>
          </w:tcPr>
          <w:p w14:paraId="4F14EB96">
            <w:pPr>
              <w:spacing w:line="180" w:lineRule="exact"/>
              <w:jc w:val="distribute"/>
              <w:rPr>
                <w:sz w:val="18"/>
                <w:szCs w:val="18"/>
              </w:rPr>
            </w:pPr>
            <w:r>
              <w:rPr>
                <w:rFonts w:hint="eastAsia"/>
                <w:sz w:val="18"/>
                <w:szCs w:val="18"/>
              </w:rPr>
              <w:t>软件版本</w:t>
            </w:r>
          </w:p>
        </w:tc>
        <w:tc>
          <w:tcPr>
            <w:tcW w:w="3108" w:type="dxa"/>
            <w:tcBorders>
              <w:top w:val="nil"/>
              <w:left w:val="nil"/>
              <w:bottom w:val="nil"/>
              <w:right w:val="nil"/>
            </w:tcBorders>
            <w:vAlign w:val="bottom"/>
          </w:tcPr>
          <w:p w14:paraId="709EC89C">
            <w:pPr>
              <w:spacing w:line="180" w:lineRule="exact"/>
              <w:rPr>
                <w:sz w:val="18"/>
                <w:szCs w:val="18"/>
              </w:rPr>
            </w:pPr>
            <w:r>
              <w:rPr>
                <w:rFonts w:hint="eastAsia"/>
                <w:sz w:val="18"/>
                <w:szCs w:val="18"/>
              </w:rPr>
              <w:t>：</w:t>
            </w:r>
            <w:bookmarkStart w:id="10" w:name="软件版本"/>
            <w:r>
              <w:rPr>
                <w:rFonts w:hint="eastAsia"/>
                <w:sz w:val="18"/>
                <w:szCs w:val="18"/>
              </w:rPr>
              <w:t>20250505(PLUS)</w:t>
            </w:r>
            <w:bookmarkEnd w:id="10"/>
          </w:p>
        </w:tc>
        <w:tc>
          <w:tcPr>
            <w:tcW w:w="3957" w:type="dxa"/>
            <w:vMerge w:val="continue"/>
            <w:tcBorders>
              <w:top w:val="single" w:color="auto" w:sz="2" w:space="0"/>
              <w:left w:val="nil"/>
              <w:bottom w:val="nil"/>
              <w:right w:val="nil"/>
            </w:tcBorders>
            <w:vAlign w:val="center"/>
          </w:tcPr>
          <w:p w14:paraId="1682F0D3">
            <w:pPr>
              <w:rPr>
                <w:rFonts w:asciiTheme="minorHAnsi" w:hAnsiTheme="minorHAnsi" w:eastAsiaTheme="minorEastAsia"/>
                <w:color w:val="767171" w:themeColor="background2" w:themeShade="80"/>
                <w:sz w:val="18"/>
                <w:szCs w:val="18"/>
              </w:rPr>
            </w:pPr>
          </w:p>
        </w:tc>
      </w:tr>
      <w:tr w14:paraId="1C7A5606">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jc w:val="center"/>
        </w:trPr>
        <w:tc>
          <w:tcPr>
            <w:tcW w:w="1275" w:type="dxa"/>
            <w:tcBorders>
              <w:top w:val="nil"/>
              <w:left w:val="nil"/>
              <w:bottom w:val="nil"/>
              <w:right w:val="nil"/>
            </w:tcBorders>
            <w:vAlign w:val="bottom"/>
          </w:tcPr>
          <w:p w14:paraId="791EDD96">
            <w:pPr>
              <w:spacing w:line="180" w:lineRule="exact"/>
              <w:jc w:val="distribute"/>
              <w:rPr>
                <w:sz w:val="18"/>
                <w:szCs w:val="18"/>
              </w:rPr>
            </w:pPr>
            <w:r>
              <w:rPr>
                <w:rFonts w:hint="eastAsia"/>
                <w:sz w:val="18"/>
                <w:szCs w:val="18"/>
              </w:rPr>
              <w:t>正版授权码</w:t>
            </w:r>
          </w:p>
        </w:tc>
        <w:tc>
          <w:tcPr>
            <w:tcW w:w="3108" w:type="dxa"/>
            <w:tcBorders>
              <w:top w:val="nil"/>
              <w:left w:val="nil"/>
              <w:bottom w:val="nil"/>
              <w:right w:val="nil"/>
            </w:tcBorders>
            <w:vAlign w:val="bottom"/>
          </w:tcPr>
          <w:p w14:paraId="3027AAAB">
            <w:pPr>
              <w:spacing w:line="180" w:lineRule="exact"/>
              <w:rPr>
                <w:sz w:val="18"/>
                <w:szCs w:val="18"/>
              </w:rPr>
            </w:pPr>
            <w:r>
              <w:rPr>
                <w:rFonts w:hint="eastAsia"/>
                <w:sz w:val="18"/>
                <w:szCs w:val="18"/>
              </w:rPr>
              <w:t>：</w:t>
            </w:r>
            <w:bookmarkStart w:id="11" w:name="正版授权码"/>
            <w:bookmarkStart w:id="12" w:name="加密锁号"/>
            <w:r>
              <w:rPr>
                <w:rFonts w:hint="eastAsia"/>
                <w:sz w:val="18"/>
                <w:szCs w:val="18"/>
              </w:rPr>
              <w:t>SP110C85A1</w:t>
            </w:r>
            <w:bookmarkEnd w:id="11"/>
            <w:bookmarkEnd w:id="12"/>
          </w:p>
        </w:tc>
        <w:tc>
          <w:tcPr>
            <w:tcW w:w="3957" w:type="dxa"/>
            <w:vMerge w:val="continue"/>
            <w:tcBorders>
              <w:top w:val="single" w:color="auto" w:sz="2" w:space="0"/>
              <w:left w:val="nil"/>
              <w:bottom w:val="nil"/>
              <w:right w:val="nil"/>
            </w:tcBorders>
            <w:vAlign w:val="center"/>
          </w:tcPr>
          <w:p w14:paraId="7CCB409A">
            <w:pPr>
              <w:rPr>
                <w:rFonts w:asciiTheme="minorHAnsi" w:hAnsiTheme="minorHAnsi" w:eastAsiaTheme="minorEastAsia"/>
                <w:color w:val="767171" w:themeColor="background2" w:themeShade="80"/>
                <w:sz w:val="18"/>
                <w:szCs w:val="18"/>
              </w:rPr>
            </w:pPr>
          </w:p>
        </w:tc>
      </w:tr>
      <w:tr w14:paraId="658353F2">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jc w:val="center"/>
        </w:trPr>
        <w:tc>
          <w:tcPr>
            <w:tcW w:w="1275" w:type="dxa"/>
            <w:tcBorders>
              <w:top w:val="nil"/>
              <w:left w:val="nil"/>
              <w:bottom w:val="nil"/>
              <w:right w:val="nil"/>
            </w:tcBorders>
            <w:vAlign w:val="bottom"/>
          </w:tcPr>
          <w:p w14:paraId="1C42E43F">
            <w:pPr>
              <w:spacing w:line="180" w:lineRule="exact"/>
              <w:jc w:val="distribute"/>
              <w:rPr>
                <w:sz w:val="18"/>
                <w:szCs w:val="18"/>
              </w:rPr>
            </w:pPr>
            <w:r>
              <w:rPr>
                <w:rFonts w:hint="eastAsia"/>
                <w:sz w:val="18"/>
                <w:szCs w:val="18"/>
              </w:rPr>
              <w:t>研发单位</w:t>
            </w:r>
          </w:p>
        </w:tc>
        <w:tc>
          <w:tcPr>
            <w:tcW w:w="3108" w:type="dxa"/>
            <w:tcBorders>
              <w:top w:val="nil"/>
              <w:left w:val="nil"/>
              <w:bottom w:val="nil"/>
              <w:right w:val="nil"/>
            </w:tcBorders>
            <w:vAlign w:val="bottom"/>
          </w:tcPr>
          <w:p w14:paraId="4D3B03FA">
            <w:pPr>
              <w:spacing w:line="180" w:lineRule="exact"/>
              <w:rPr>
                <w:sz w:val="18"/>
                <w:szCs w:val="18"/>
              </w:rPr>
            </w:pPr>
            <w:r>
              <w:rPr>
                <w:rFonts w:hint="eastAsia"/>
                <w:sz w:val="18"/>
                <w:szCs w:val="18"/>
              </w:rPr>
              <w:t>：北京绿建软件股份有限公司</w:t>
            </w:r>
          </w:p>
        </w:tc>
        <w:tc>
          <w:tcPr>
            <w:tcW w:w="3957" w:type="dxa"/>
            <w:vMerge w:val="continue"/>
            <w:tcBorders>
              <w:top w:val="single" w:color="auto" w:sz="2" w:space="0"/>
              <w:left w:val="nil"/>
              <w:bottom w:val="nil"/>
              <w:right w:val="nil"/>
            </w:tcBorders>
            <w:vAlign w:val="center"/>
          </w:tcPr>
          <w:p w14:paraId="6C146569">
            <w:pPr>
              <w:rPr>
                <w:rFonts w:asciiTheme="minorHAnsi" w:hAnsiTheme="minorHAnsi" w:eastAsiaTheme="minorEastAsia"/>
                <w:color w:val="767171" w:themeColor="background2" w:themeShade="80"/>
                <w:sz w:val="18"/>
                <w:szCs w:val="18"/>
              </w:rPr>
            </w:pPr>
          </w:p>
        </w:tc>
      </w:tr>
    </w:tbl>
    <w:p w14:paraId="7A384CD8">
      <w:pPr>
        <w:tabs>
          <w:tab w:val="left" w:pos="2310"/>
          <w:tab w:val="center" w:pos="4333"/>
        </w:tabs>
        <w:sectPr>
          <w:footerReference r:id="rId5" w:type="first"/>
          <w:headerReference r:id="rId3" w:type="default"/>
          <w:footerReference r:id="rId4" w:type="default"/>
          <w:pgSz w:w="11906" w:h="16838"/>
          <w:pgMar w:top="1440" w:right="1418" w:bottom="284" w:left="1418" w:header="851" w:footer="0" w:gutter="0"/>
          <w:cols w:space="425" w:num="1"/>
          <w:titlePg/>
          <w:docGrid w:type="lines" w:linePitch="312" w:charSpace="0"/>
        </w:sectPr>
      </w:pPr>
    </w:p>
    <w:p w14:paraId="249B97AF">
      <w:pPr>
        <w:spacing w:line="1000" w:lineRule="exact"/>
        <w:jc w:val="center"/>
        <w:rPr>
          <w:rFonts w:ascii="宋体" w:hAnsi="宋体"/>
          <w:b/>
          <w:bCs/>
          <w:sz w:val="32"/>
          <w:szCs w:val="32"/>
        </w:rPr>
      </w:pPr>
      <w:bookmarkStart w:id="13" w:name="目录"/>
      <w:r>
        <w:rPr>
          <w:rFonts w:hint="eastAsia" w:ascii="宋体" w:hAnsi="宋体"/>
          <w:b/>
          <w:bCs/>
          <w:sz w:val="32"/>
          <w:szCs w:val="32"/>
        </w:rPr>
        <w:t>目  录</w:t>
      </w:r>
    </w:p>
    <w:p w14:paraId="0016DB3C">
      <w:pPr>
        <w:pStyle w:val="11"/>
        <w:pBdr>
          <w:bottom w:val="none" w:color="auto" w:sz="0" w:space="0"/>
        </w:pBdr>
        <w:tabs>
          <w:tab w:val="clear" w:pos="4153"/>
          <w:tab w:val="clear" w:pos="8306"/>
        </w:tabs>
        <w:snapToGrid/>
        <w:rPr>
          <w:rFonts w:ascii="宋体" w:hAnsi="宋体"/>
          <w:szCs w:val="20"/>
        </w:rPr>
      </w:pPr>
    </w:p>
    <w:p w14:paraId="7D87BB8E">
      <w:pPr>
        <w:pStyle w:val="12"/>
        <w:tabs>
          <w:tab w:val="right" w:leader="dot" w:pos="9070"/>
          <w:tab w:val="clear" w:pos="180"/>
          <w:tab w:val="clear" w:pos="9360"/>
        </w:tabs>
      </w:pPr>
      <w:r>
        <w:rPr>
          <w:rFonts w:ascii="宋体" w:hAnsi="宋体"/>
          <w:caps/>
        </w:rPr>
        <w:fldChar w:fldCharType="begin"/>
      </w:r>
      <w:r>
        <w:rPr>
          <w:rFonts w:ascii="宋体" w:hAnsi="宋体"/>
          <w:caps/>
        </w:rPr>
        <w:instrText xml:space="preserve"> TOC \o "2-3" \f \h \z \t "标题 1,1" </w:instrText>
      </w:r>
      <w:r>
        <w:rPr>
          <w:rFonts w:ascii="宋体" w:hAnsi="宋体"/>
          <w:caps/>
        </w:rPr>
        <w:fldChar w:fldCharType="separate"/>
      </w:r>
      <w:r>
        <w:rPr>
          <w:rFonts w:ascii="宋体" w:hAnsi="宋体"/>
          <w:caps/>
        </w:rPr>
        <w:fldChar w:fldCharType="begin"/>
      </w:r>
      <w:r>
        <w:rPr>
          <w:rFonts w:ascii="宋体" w:hAnsi="宋体"/>
          <w:caps/>
        </w:rPr>
        <w:instrText xml:space="preserve"> HYPERLINK \l _Toc15874 </w:instrText>
      </w:r>
      <w:r>
        <w:rPr>
          <w:rFonts w:ascii="宋体" w:hAnsi="宋体"/>
          <w:caps/>
        </w:rPr>
        <w:fldChar w:fldCharType="separate"/>
      </w:r>
      <w:r>
        <w:rPr>
          <w:rFonts w:hint="eastAsia"/>
          <w:szCs w:val="28"/>
        </w:rPr>
        <w:t>1</w:t>
      </w:r>
      <w:r>
        <w:rPr>
          <w:szCs w:val="28"/>
        </w:rPr>
        <w:t>.</w:t>
      </w:r>
      <w:r>
        <w:rPr>
          <w:rFonts w:hint="eastAsia" w:ascii="Times New Roman" w:hAnsi="Times New Roman"/>
          <w:szCs w:val="28"/>
        </w:rPr>
        <w:t>项目概况</w:t>
      </w:r>
      <w:r>
        <w:tab/>
      </w:r>
      <w:r>
        <w:fldChar w:fldCharType="begin"/>
      </w:r>
      <w:r>
        <w:instrText xml:space="preserve"> PAGEREF _Toc15874 \h </w:instrText>
      </w:r>
      <w:r>
        <w:fldChar w:fldCharType="separate"/>
      </w:r>
      <w:r>
        <w:t>1</w:t>
      </w:r>
      <w:r>
        <w:fldChar w:fldCharType="end"/>
      </w:r>
      <w:r>
        <w:rPr>
          <w:rFonts w:ascii="宋体" w:hAnsi="宋体"/>
          <w:caps/>
        </w:rPr>
        <w:fldChar w:fldCharType="end"/>
      </w:r>
    </w:p>
    <w:p w14:paraId="0C45E608">
      <w:pPr>
        <w:pStyle w:val="12"/>
        <w:tabs>
          <w:tab w:val="right" w:leader="dot" w:pos="9070"/>
          <w:tab w:val="clear" w:pos="180"/>
          <w:tab w:val="clear" w:pos="9360"/>
        </w:tabs>
      </w:pPr>
      <w:r>
        <w:fldChar w:fldCharType="begin"/>
      </w:r>
      <w:r>
        <w:instrText xml:space="preserve"> HYPERLINK \l _Toc26202 </w:instrText>
      </w:r>
      <w:r>
        <w:fldChar w:fldCharType="separate"/>
      </w:r>
      <w:r>
        <w:rPr>
          <w:rFonts w:hint="eastAsia"/>
          <w:szCs w:val="28"/>
        </w:rPr>
        <w:t>2.评价</w:t>
      </w:r>
      <w:r>
        <w:rPr>
          <w:szCs w:val="28"/>
        </w:rPr>
        <w:t>标准</w:t>
      </w:r>
      <w:r>
        <w:tab/>
      </w:r>
      <w:r>
        <w:fldChar w:fldCharType="begin"/>
      </w:r>
      <w:r>
        <w:instrText xml:space="preserve"> PAGEREF _Toc26202 \h </w:instrText>
      </w:r>
      <w:r>
        <w:fldChar w:fldCharType="separate"/>
      </w:r>
      <w:r>
        <w:t>3</w:t>
      </w:r>
      <w:r>
        <w:fldChar w:fldCharType="end"/>
      </w:r>
      <w:r>
        <w:fldChar w:fldCharType="end"/>
      </w:r>
    </w:p>
    <w:p w14:paraId="2A282277">
      <w:pPr>
        <w:pStyle w:val="13"/>
        <w:tabs>
          <w:tab w:val="right" w:leader="dot" w:pos="9070"/>
          <w:tab w:val="clear" w:pos="540"/>
          <w:tab w:val="clear" w:pos="9360"/>
        </w:tabs>
      </w:pPr>
      <w:r>
        <w:fldChar w:fldCharType="begin"/>
      </w:r>
      <w:r>
        <w:instrText xml:space="preserve"> HYPERLINK \l _Toc10054 </w:instrText>
      </w:r>
      <w:r>
        <w:fldChar w:fldCharType="separate"/>
      </w:r>
      <w:r>
        <w:rPr>
          <w:rFonts w:hint="eastAsia"/>
          <w:szCs w:val="24"/>
        </w:rPr>
        <w:t>2.1评价</w:t>
      </w:r>
      <w:r>
        <w:rPr>
          <w:szCs w:val="24"/>
        </w:rPr>
        <w:t>依据</w:t>
      </w:r>
      <w:r>
        <w:tab/>
      </w:r>
      <w:r>
        <w:fldChar w:fldCharType="begin"/>
      </w:r>
      <w:r>
        <w:instrText xml:space="preserve"> PAGEREF _Toc10054 \h </w:instrText>
      </w:r>
      <w:r>
        <w:fldChar w:fldCharType="separate"/>
      </w:r>
      <w:r>
        <w:t>3</w:t>
      </w:r>
      <w:r>
        <w:fldChar w:fldCharType="end"/>
      </w:r>
      <w:r>
        <w:fldChar w:fldCharType="end"/>
      </w:r>
    </w:p>
    <w:p w14:paraId="3AF6DEAD">
      <w:pPr>
        <w:pStyle w:val="13"/>
        <w:tabs>
          <w:tab w:val="right" w:leader="dot" w:pos="9070"/>
          <w:tab w:val="clear" w:pos="540"/>
          <w:tab w:val="clear" w:pos="9360"/>
        </w:tabs>
      </w:pPr>
      <w:r>
        <w:fldChar w:fldCharType="begin"/>
      </w:r>
      <w:r>
        <w:instrText xml:space="preserve"> HYPERLINK \l _Toc28440 </w:instrText>
      </w:r>
      <w:r>
        <w:fldChar w:fldCharType="separate"/>
      </w:r>
      <w:r>
        <w:rPr>
          <w:rFonts w:hint="eastAsia"/>
          <w:szCs w:val="24"/>
        </w:rPr>
        <w:t>2.2标准</w:t>
      </w:r>
      <w:r>
        <w:rPr>
          <w:szCs w:val="24"/>
        </w:rPr>
        <w:t>要求</w:t>
      </w:r>
      <w:r>
        <w:tab/>
      </w:r>
      <w:r>
        <w:fldChar w:fldCharType="begin"/>
      </w:r>
      <w:r>
        <w:instrText xml:space="preserve"> PAGEREF _Toc28440 \h </w:instrText>
      </w:r>
      <w:r>
        <w:fldChar w:fldCharType="separate"/>
      </w:r>
      <w:r>
        <w:t>3</w:t>
      </w:r>
      <w:r>
        <w:fldChar w:fldCharType="end"/>
      </w:r>
      <w:r>
        <w:fldChar w:fldCharType="end"/>
      </w:r>
    </w:p>
    <w:p w14:paraId="4911E790">
      <w:pPr>
        <w:pStyle w:val="12"/>
        <w:tabs>
          <w:tab w:val="right" w:leader="dot" w:pos="9070"/>
          <w:tab w:val="clear" w:pos="180"/>
          <w:tab w:val="clear" w:pos="9360"/>
        </w:tabs>
      </w:pPr>
      <w:r>
        <w:fldChar w:fldCharType="begin"/>
      </w:r>
      <w:r>
        <w:instrText xml:space="preserve"> HYPERLINK \l _Toc3728 </w:instrText>
      </w:r>
      <w:r>
        <w:fldChar w:fldCharType="separate"/>
      </w:r>
      <w:r>
        <w:rPr>
          <w:rFonts w:hint="eastAsia"/>
          <w:szCs w:val="28"/>
        </w:rPr>
        <w:t>3.模拟</w:t>
      </w:r>
      <w:r>
        <w:rPr>
          <w:szCs w:val="28"/>
        </w:rPr>
        <w:t>方法</w:t>
      </w:r>
      <w:r>
        <w:tab/>
      </w:r>
      <w:r>
        <w:fldChar w:fldCharType="begin"/>
      </w:r>
      <w:r>
        <w:instrText xml:space="preserve"> PAGEREF _Toc3728 \h </w:instrText>
      </w:r>
      <w:r>
        <w:fldChar w:fldCharType="separate"/>
      </w:r>
      <w:r>
        <w:t>4</w:t>
      </w:r>
      <w:r>
        <w:fldChar w:fldCharType="end"/>
      </w:r>
      <w:r>
        <w:fldChar w:fldCharType="end"/>
      </w:r>
    </w:p>
    <w:p w14:paraId="1A83752C">
      <w:pPr>
        <w:pStyle w:val="13"/>
        <w:tabs>
          <w:tab w:val="right" w:leader="dot" w:pos="9070"/>
          <w:tab w:val="clear" w:pos="540"/>
          <w:tab w:val="clear" w:pos="9360"/>
        </w:tabs>
      </w:pPr>
      <w:r>
        <w:fldChar w:fldCharType="begin"/>
      </w:r>
      <w:r>
        <w:instrText xml:space="preserve"> HYPERLINK \l _Toc18253 </w:instrText>
      </w:r>
      <w:r>
        <w:fldChar w:fldCharType="separate"/>
      </w:r>
      <w:r>
        <w:rPr>
          <w:rFonts w:hint="eastAsia"/>
          <w:szCs w:val="24"/>
        </w:rPr>
        <w:t>3.1模拟软件</w:t>
      </w:r>
      <w:r>
        <w:tab/>
      </w:r>
      <w:r>
        <w:fldChar w:fldCharType="begin"/>
      </w:r>
      <w:r>
        <w:instrText xml:space="preserve"> PAGEREF _Toc18253 \h </w:instrText>
      </w:r>
      <w:r>
        <w:fldChar w:fldCharType="separate"/>
      </w:r>
      <w:r>
        <w:t>4</w:t>
      </w:r>
      <w:r>
        <w:fldChar w:fldCharType="end"/>
      </w:r>
      <w:r>
        <w:fldChar w:fldCharType="end"/>
      </w:r>
    </w:p>
    <w:p w14:paraId="7A996B56">
      <w:pPr>
        <w:pStyle w:val="13"/>
        <w:tabs>
          <w:tab w:val="right" w:leader="dot" w:pos="9070"/>
          <w:tab w:val="clear" w:pos="540"/>
          <w:tab w:val="clear" w:pos="9360"/>
        </w:tabs>
      </w:pPr>
      <w:r>
        <w:fldChar w:fldCharType="begin"/>
      </w:r>
      <w:r>
        <w:instrText xml:space="preserve"> HYPERLINK \l _Toc9174 </w:instrText>
      </w:r>
      <w:r>
        <w:fldChar w:fldCharType="separate"/>
      </w:r>
      <w:r>
        <w:rPr>
          <w:rFonts w:hint="eastAsia"/>
          <w:szCs w:val="24"/>
        </w:rPr>
        <w:t>3.2分析</w:t>
      </w:r>
      <w:r>
        <w:rPr>
          <w:szCs w:val="24"/>
        </w:rPr>
        <w:t>模</w:t>
      </w:r>
      <w:r>
        <w:rPr>
          <w:rFonts w:hint="eastAsia"/>
          <w:szCs w:val="24"/>
        </w:rPr>
        <w:t>型</w:t>
      </w:r>
      <w:r>
        <w:tab/>
      </w:r>
      <w:r>
        <w:fldChar w:fldCharType="begin"/>
      </w:r>
      <w:r>
        <w:instrText xml:space="preserve"> PAGEREF _Toc9174 \h </w:instrText>
      </w:r>
      <w:r>
        <w:fldChar w:fldCharType="separate"/>
      </w:r>
      <w:r>
        <w:t>5</w:t>
      </w:r>
      <w:r>
        <w:fldChar w:fldCharType="end"/>
      </w:r>
      <w:r>
        <w:fldChar w:fldCharType="end"/>
      </w:r>
    </w:p>
    <w:p w14:paraId="6BD5E804">
      <w:pPr>
        <w:pStyle w:val="13"/>
        <w:tabs>
          <w:tab w:val="right" w:leader="dot" w:pos="9070"/>
          <w:tab w:val="clear" w:pos="540"/>
          <w:tab w:val="clear" w:pos="9360"/>
        </w:tabs>
      </w:pPr>
      <w:r>
        <w:fldChar w:fldCharType="begin"/>
      </w:r>
      <w:r>
        <w:instrText xml:space="preserve"> HYPERLINK \l _Toc21867 </w:instrText>
      </w:r>
      <w:r>
        <w:fldChar w:fldCharType="separate"/>
      </w:r>
      <w:r>
        <w:rPr>
          <w:rFonts w:hint="eastAsia"/>
          <w:szCs w:val="24"/>
        </w:rPr>
        <w:t>3.</w:t>
      </w:r>
      <w:r>
        <w:rPr>
          <w:szCs w:val="24"/>
        </w:rPr>
        <w:t>3</w:t>
      </w:r>
      <w:r>
        <w:rPr>
          <w:rFonts w:hint="eastAsia"/>
          <w:szCs w:val="24"/>
        </w:rPr>
        <w:t>计算条件</w:t>
      </w:r>
      <w:r>
        <w:tab/>
      </w:r>
      <w:r>
        <w:fldChar w:fldCharType="begin"/>
      </w:r>
      <w:r>
        <w:instrText xml:space="preserve"> PAGEREF _Toc21867 \h </w:instrText>
      </w:r>
      <w:r>
        <w:fldChar w:fldCharType="separate"/>
      </w:r>
      <w:r>
        <w:t>6</w:t>
      </w:r>
      <w:r>
        <w:fldChar w:fldCharType="end"/>
      </w:r>
      <w:r>
        <w:fldChar w:fldCharType="end"/>
      </w:r>
    </w:p>
    <w:p w14:paraId="4CDD2068">
      <w:pPr>
        <w:pStyle w:val="13"/>
        <w:tabs>
          <w:tab w:val="right" w:leader="dot" w:pos="9070"/>
          <w:tab w:val="clear" w:pos="540"/>
          <w:tab w:val="clear" w:pos="9360"/>
        </w:tabs>
      </w:pPr>
      <w:r>
        <w:fldChar w:fldCharType="begin"/>
      </w:r>
      <w:r>
        <w:instrText xml:space="preserve"> HYPERLINK \l _Toc6349 </w:instrText>
      </w:r>
      <w:r>
        <w:fldChar w:fldCharType="separate"/>
      </w:r>
      <w:r>
        <w:rPr>
          <w:rFonts w:hint="eastAsia"/>
          <w:szCs w:val="24"/>
        </w:rPr>
        <w:t>3.</w:t>
      </w:r>
      <w:r>
        <w:rPr>
          <w:szCs w:val="24"/>
        </w:rPr>
        <w:t>4</w:t>
      </w:r>
      <w:r>
        <w:rPr>
          <w:rFonts w:hint="eastAsia"/>
          <w:szCs w:val="24"/>
        </w:rPr>
        <w:t>参数</w:t>
      </w:r>
      <w:r>
        <w:rPr>
          <w:szCs w:val="24"/>
        </w:rPr>
        <w:t>设置</w:t>
      </w:r>
      <w:r>
        <w:tab/>
      </w:r>
      <w:r>
        <w:fldChar w:fldCharType="begin"/>
      </w:r>
      <w:r>
        <w:instrText xml:space="preserve"> PAGEREF _Toc6349 \h </w:instrText>
      </w:r>
      <w:r>
        <w:fldChar w:fldCharType="separate"/>
      </w:r>
      <w:r>
        <w:t>7</w:t>
      </w:r>
      <w:r>
        <w:fldChar w:fldCharType="end"/>
      </w:r>
      <w:r>
        <w:fldChar w:fldCharType="end"/>
      </w:r>
    </w:p>
    <w:p w14:paraId="633FA1B9">
      <w:pPr>
        <w:pStyle w:val="12"/>
        <w:tabs>
          <w:tab w:val="right" w:leader="dot" w:pos="9070"/>
          <w:tab w:val="clear" w:pos="180"/>
          <w:tab w:val="clear" w:pos="9360"/>
        </w:tabs>
      </w:pPr>
      <w:r>
        <w:fldChar w:fldCharType="begin"/>
      </w:r>
      <w:r>
        <w:instrText xml:space="preserve"> HYPERLINK \l _Toc32054 </w:instrText>
      </w:r>
      <w:r>
        <w:fldChar w:fldCharType="separate"/>
      </w:r>
      <w:r>
        <w:rPr>
          <w:rFonts w:hint="eastAsia"/>
          <w:szCs w:val="28"/>
        </w:rPr>
        <w:t>4.模拟结果</w:t>
      </w:r>
      <w:r>
        <w:rPr>
          <w:szCs w:val="28"/>
        </w:rPr>
        <w:t>及分析</w:t>
      </w:r>
      <w:r>
        <w:tab/>
      </w:r>
      <w:r>
        <w:fldChar w:fldCharType="begin"/>
      </w:r>
      <w:r>
        <w:instrText xml:space="preserve"> PAGEREF _Toc32054 \h </w:instrText>
      </w:r>
      <w:r>
        <w:fldChar w:fldCharType="separate"/>
      </w:r>
      <w:r>
        <w:t>7</w:t>
      </w:r>
      <w:r>
        <w:fldChar w:fldCharType="end"/>
      </w:r>
      <w:r>
        <w:fldChar w:fldCharType="end"/>
      </w:r>
    </w:p>
    <w:p w14:paraId="1EAAC13A">
      <w:pPr>
        <w:pStyle w:val="13"/>
        <w:tabs>
          <w:tab w:val="right" w:leader="dot" w:pos="9070"/>
          <w:tab w:val="clear" w:pos="540"/>
          <w:tab w:val="clear" w:pos="9360"/>
        </w:tabs>
      </w:pPr>
      <w:r>
        <w:fldChar w:fldCharType="begin"/>
      </w:r>
      <w:r>
        <w:instrText xml:space="preserve"> HYPERLINK \l _Toc24451 </w:instrText>
      </w:r>
      <w:r>
        <w:fldChar w:fldCharType="separate"/>
      </w:r>
      <w:r>
        <w:rPr>
          <w:rFonts w:hint="eastAsia"/>
          <w:szCs w:val="24"/>
        </w:rPr>
        <w:t>4</w:t>
      </w:r>
      <w:r>
        <w:rPr>
          <w:szCs w:val="24"/>
        </w:rPr>
        <w:t>.1</w:t>
      </w:r>
      <w:r>
        <w:rPr>
          <w:rFonts w:hint="eastAsia"/>
          <w:szCs w:val="24"/>
        </w:rPr>
        <w:t>场地</w:t>
      </w:r>
      <w:r>
        <w:rPr>
          <w:szCs w:val="24"/>
        </w:rPr>
        <w:t>噪声</w:t>
      </w:r>
      <w:r>
        <w:tab/>
      </w:r>
      <w:r>
        <w:fldChar w:fldCharType="begin"/>
      </w:r>
      <w:r>
        <w:instrText xml:space="preserve"> PAGEREF _Toc24451 \h </w:instrText>
      </w:r>
      <w:r>
        <w:fldChar w:fldCharType="separate"/>
      </w:r>
      <w:r>
        <w:t>7</w:t>
      </w:r>
      <w:r>
        <w:fldChar w:fldCharType="end"/>
      </w:r>
      <w:r>
        <w:fldChar w:fldCharType="end"/>
      </w:r>
    </w:p>
    <w:p w14:paraId="64FB3423">
      <w:pPr>
        <w:pStyle w:val="13"/>
        <w:tabs>
          <w:tab w:val="right" w:leader="dot" w:pos="9070"/>
          <w:tab w:val="clear" w:pos="540"/>
          <w:tab w:val="clear" w:pos="9360"/>
        </w:tabs>
      </w:pPr>
      <w:r>
        <w:fldChar w:fldCharType="begin"/>
      </w:r>
      <w:r>
        <w:instrText xml:space="preserve"> HYPERLINK \l _Toc30833 </w:instrText>
      </w:r>
      <w:r>
        <w:fldChar w:fldCharType="separate"/>
      </w:r>
      <w:r>
        <w:rPr>
          <w:rFonts w:hint="eastAsia"/>
          <w:szCs w:val="24"/>
        </w:rPr>
        <w:t>4</w:t>
      </w:r>
      <w:r>
        <w:rPr>
          <w:szCs w:val="24"/>
        </w:rPr>
        <w:t>.2</w:t>
      </w:r>
      <w:r>
        <w:rPr>
          <w:rFonts w:hint="eastAsia"/>
          <w:szCs w:val="24"/>
        </w:rPr>
        <w:t>建筑</w:t>
      </w:r>
      <w:r>
        <w:rPr>
          <w:szCs w:val="24"/>
        </w:rPr>
        <w:t>噪声</w:t>
      </w:r>
      <w:r>
        <w:tab/>
      </w:r>
      <w:r>
        <w:fldChar w:fldCharType="begin"/>
      </w:r>
      <w:r>
        <w:instrText xml:space="preserve"> PAGEREF _Toc30833 \h </w:instrText>
      </w:r>
      <w:r>
        <w:fldChar w:fldCharType="separate"/>
      </w:r>
      <w:r>
        <w:t>11</w:t>
      </w:r>
      <w:r>
        <w:fldChar w:fldCharType="end"/>
      </w:r>
      <w:r>
        <w:fldChar w:fldCharType="end"/>
      </w:r>
    </w:p>
    <w:p w14:paraId="5D179791">
      <w:pPr>
        <w:pStyle w:val="12"/>
        <w:tabs>
          <w:tab w:val="right" w:leader="dot" w:pos="9070"/>
          <w:tab w:val="clear" w:pos="180"/>
          <w:tab w:val="clear" w:pos="9360"/>
        </w:tabs>
      </w:pPr>
      <w:r>
        <w:fldChar w:fldCharType="begin"/>
      </w:r>
      <w:r>
        <w:instrText xml:space="preserve"> HYPERLINK \l _Toc25303 </w:instrText>
      </w:r>
      <w:r>
        <w:fldChar w:fldCharType="separate"/>
      </w:r>
      <w:r>
        <w:rPr>
          <w:rFonts w:hint="eastAsia"/>
          <w:szCs w:val="28"/>
        </w:rPr>
        <w:t>5.结论</w:t>
      </w:r>
      <w:r>
        <w:tab/>
      </w:r>
      <w:r>
        <w:fldChar w:fldCharType="begin"/>
      </w:r>
      <w:r>
        <w:instrText xml:space="preserve"> PAGEREF _Toc25303 \h </w:instrText>
      </w:r>
      <w:r>
        <w:fldChar w:fldCharType="separate"/>
      </w:r>
      <w:r>
        <w:t>14</w:t>
      </w:r>
      <w:r>
        <w:fldChar w:fldCharType="end"/>
      </w:r>
      <w:r>
        <w:fldChar w:fldCharType="end"/>
      </w:r>
    </w:p>
    <w:p w14:paraId="07FF467C">
      <w:pPr>
        <w:pStyle w:val="12"/>
      </w:pPr>
      <w:r>
        <w:fldChar w:fldCharType="end"/>
      </w:r>
      <w:bookmarkEnd w:id="13"/>
    </w:p>
    <w:p w14:paraId="363EDE38">
      <w:pPr>
        <w:jc w:val="right"/>
      </w:pPr>
    </w:p>
    <w:p w14:paraId="450DB835"/>
    <w:p w14:paraId="491B606E">
      <w:pPr>
        <w:sectPr>
          <w:headerReference r:id="rId7" w:type="first"/>
          <w:headerReference r:id="rId6" w:type="default"/>
          <w:footerReference r:id="rId8" w:type="even"/>
          <w:pgSz w:w="11906" w:h="16838"/>
          <w:pgMar w:top="1440" w:right="1418" w:bottom="1440" w:left="1418" w:header="851" w:footer="992" w:gutter="0"/>
          <w:cols w:space="425" w:num="1"/>
          <w:titlePg/>
          <w:docGrid w:type="lines" w:linePitch="312" w:charSpace="0"/>
        </w:sectPr>
      </w:pPr>
    </w:p>
    <w:p w14:paraId="5DF75579">
      <w:pPr>
        <w:pStyle w:val="2"/>
        <w:rPr>
          <w:rFonts w:ascii="Times New Roman" w:hAnsi="Times New Roman"/>
          <w:sz w:val="28"/>
          <w:szCs w:val="28"/>
        </w:rPr>
      </w:pPr>
      <w:bookmarkStart w:id="14" w:name="_Toc15874"/>
      <w:bookmarkStart w:id="15" w:name="_Toc479326717"/>
      <w:r>
        <w:rPr>
          <w:rFonts w:hint="eastAsia"/>
          <w:sz w:val="28"/>
          <w:szCs w:val="28"/>
        </w:rPr>
        <w:t>1</w:t>
      </w:r>
      <w:r>
        <w:rPr>
          <w:sz w:val="28"/>
          <w:szCs w:val="28"/>
        </w:rPr>
        <w:t>.</w:t>
      </w:r>
      <w:r>
        <w:rPr>
          <w:rFonts w:hint="eastAsia" w:ascii="Times New Roman" w:hAnsi="Times New Roman"/>
          <w:sz w:val="28"/>
          <w:szCs w:val="28"/>
        </w:rPr>
        <w:t>项目概况</w:t>
      </w:r>
      <w:bookmarkEnd w:id="14"/>
      <w:bookmarkEnd w:id="15"/>
    </w:p>
    <w:p w14:paraId="11A06BFC">
      <w:r>
        <w:rPr>
          <w:rFonts w:hint="eastAsia"/>
        </w:rPr>
        <w:t>本项目参与计算的噪声敏感参评建筑物如下表所示：</w:t>
      </w:r>
    </w:p>
    <w:p w14:paraId="16E00042">
      <w:pPr>
        <w:spacing w:before="240"/>
        <w:jc w:val="center"/>
      </w:pPr>
      <w:r>
        <w:rPr>
          <w:rFonts w:hint="eastAsia"/>
        </w:rPr>
        <w:t>表1 参评</w:t>
      </w:r>
      <w:r>
        <w:t>建筑</w:t>
      </w:r>
      <w:r>
        <w:rPr>
          <w:rFonts w:hint="eastAsia"/>
        </w:rPr>
        <w:t>信息表</w:t>
      </w:r>
    </w:p>
    <w:tbl>
      <w:tblPr>
        <w:tblStyle w:val="15"/>
        <w:tblW w:w="8274"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3616"/>
        <w:gridCol w:w="2586"/>
        <w:gridCol w:w="2071"/>
      </w:tblGrid>
      <w:tr w14:paraId="6E43A532">
        <w:tblPrEx>
          <w:tblCellMar>
            <w:top w:w="0" w:type="dxa"/>
            <w:left w:w="108" w:type="dxa"/>
            <w:bottom w:w="0" w:type="dxa"/>
            <w:right w:w="108" w:type="dxa"/>
          </w:tblCellMar>
        </w:tblPrEx>
        <w:tc>
          <w:tcPr>
            <w:shd w:val="clear" w:color="auto" w:fill="E6E6E6"/>
            <w:vAlign w:val="center"/>
          </w:tcPr>
          <w:p w14:paraId="0D8ECA33">
            <w:pPr>
              <w:jc w:val="center"/>
            </w:pPr>
            <w:r>
              <w:t>名称</w:t>
            </w:r>
          </w:p>
        </w:tc>
        <w:tc>
          <w:tcPr>
            <w:shd w:val="clear" w:color="auto" w:fill="E6E6E6"/>
            <w:vAlign w:val="center"/>
          </w:tcPr>
          <w:p w14:paraId="10115C13">
            <w:pPr>
              <w:jc w:val="center"/>
            </w:pPr>
            <w:r>
              <w:t>建筑高度(米)</w:t>
            </w:r>
          </w:p>
        </w:tc>
        <w:tc>
          <w:tcPr>
            <w:shd w:val="clear" w:color="auto" w:fill="E6E6E6"/>
            <w:vAlign w:val="center"/>
          </w:tcPr>
          <w:p w14:paraId="1D1B2CBD">
            <w:pPr>
              <w:jc w:val="center"/>
            </w:pPr>
            <w:r>
              <w:t>底标高(米)</w:t>
            </w:r>
          </w:p>
        </w:tc>
      </w:tr>
      <w:tr w14:paraId="1779EB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4E3913D1">
            <w:pPr>
              <w:jc w:val="center"/>
            </w:pPr>
            <w:r>
              <w:t>1#</w:t>
            </w:r>
          </w:p>
        </w:tc>
        <w:tc>
          <w:tcPr>
            <w:vAlign w:val="center"/>
          </w:tcPr>
          <w:p w14:paraId="7F0823E6">
            <w:pPr>
              <w:jc w:val="center"/>
            </w:pPr>
            <w:r>
              <w:t>3.30</w:t>
            </w:r>
          </w:p>
        </w:tc>
        <w:tc>
          <w:tcPr>
            <w:vAlign w:val="center"/>
          </w:tcPr>
          <w:p w14:paraId="1531AD2C">
            <w:pPr>
              <w:jc w:val="center"/>
            </w:pPr>
            <w:r>
              <w:t>0.00</w:t>
            </w:r>
          </w:p>
        </w:tc>
      </w:tr>
      <w:tr w14:paraId="10E2CB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20AC895D">
            <w:pPr>
              <w:jc w:val="center"/>
            </w:pPr>
            <w:r>
              <w:t>2#</w:t>
            </w:r>
          </w:p>
        </w:tc>
        <w:tc>
          <w:tcPr>
            <w:vAlign w:val="center"/>
          </w:tcPr>
          <w:p w14:paraId="643C7A21">
            <w:pPr>
              <w:jc w:val="center"/>
            </w:pPr>
            <w:r>
              <w:t>6.60</w:t>
            </w:r>
          </w:p>
        </w:tc>
        <w:tc>
          <w:tcPr>
            <w:vAlign w:val="center"/>
          </w:tcPr>
          <w:p w14:paraId="74AF4992">
            <w:pPr>
              <w:jc w:val="center"/>
            </w:pPr>
            <w:r>
              <w:t>0.00</w:t>
            </w:r>
          </w:p>
        </w:tc>
      </w:tr>
      <w:tr w14:paraId="1D30D048">
        <w:tblPrEx>
          <w:tblCellMar>
            <w:top w:w="0" w:type="dxa"/>
            <w:left w:w="108" w:type="dxa"/>
            <w:bottom w:w="0" w:type="dxa"/>
            <w:right w:w="108" w:type="dxa"/>
          </w:tblCellMar>
        </w:tblPrEx>
        <w:tc>
          <w:tcPr>
            <w:vAlign w:val="center"/>
          </w:tcPr>
          <w:p w14:paraId="6AF7D786">
            <w:pPr>
              <w:jc w:val="center"/>
            </w:pPr>
            <w:r>
              <w:t>3#</w:t>
            </w:r>
          </w:p>
        </w:tc>
        <w:tc>
          <w:tcPr>
            <w:vAlign w:val="center"/>
          </w:tcPr>
          <w:p w14:paraId="45B47A29">
            <w:pPr>
              <w:jc w:val="center"/>
            </w:pPr>
            <w:r>
              <w:t>6.60</w:t>
            </w:r>
          </w:p>
        </w:tc>
        <w:tc>
          <w:tcPr>
            <w:vAlign w:val="center"/>
          </w:tcPr>
          <w:p w14:paraId="00314024">
            <w:pPr>
              <w:jc w:val="center"/>
            </w:pPr>
            <w:r>
              <w:t>0.00</w:t>
            </w:r>
          </w:p>
        </w:tc>
      </w:tr>
      <w:tr w14:paraId="7F9F96EC">
        <w:tblPrEx>
          <w:tblCellMar>
            <w:top w:w="0" w:type="dxa"/>
            <w:left w:w="108" w:type="dxa"/>
            <w:bottom w:w="0" w:type="dxa"/>
            <w:right w:w="108" w:type="dxa"/>
          </w:tblCellMar>
        </w:tblPrEx>
        <w:tc>
          <w:tcPr>
            <w:vAlign w:val="center"/>
          </w:tcPr>
          <w:p w14:paraId="3BEC84E2">
            <w:pPr>
              <w:jc w:val="center"/>
            </w:pPr>
            <w:r>
              <w:t>4#</w:t>
            </w:r>
          </w:p>
        </w:tc>
        <w:tc>
          <w:tcPr>
            <w:vAlign w:val="center"/>
          </w:tcPr>
          <w:p w14:paraId="3CA90132">
            <w:pPr>
              <w:jc w:val="center"/>
            </w:pPr>
            <w:r>
              <w:t>6.60</w:t>
            </w:r>
          </w:p>
        </w:tc>
        <w:tc>
          <w:tcPr>
            <w:vAlign w:val="center"/>
          </w:tcPr>
          <w:p w14:paraId="26B3F38E">
            <w:pPr>
              <w:jc w:val="center"/>
            </w:pPr>
            <w:r>
              <w:t>0.00</w:t>
            </w:r>
          </w:p>
        </w:tc>
      </w:tr>
      <w:tr w14:paraId="5BECEF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15459924">
            <w:pPr>
              <w:jc w:val="center"/>
            </w:pPr>
            <w:r>
              <w:t>5#</w:t>
            </w:r>
          </w:p>
        </w:tc>
        <w:tc>
          <w:tcPr>
            <w:vAlign w:val="center"/>
          </w:tcPr>
          <w:p w14:paraId="7DBBF4D8">
            <w:pPr>
              <w:jc w:val="center"/>
            </w:pPr>
            <w:r>
              <w:t>6.60</w:t>
            </w:r>
          </w:p>
        </w:tc>
        <w:tc>
          <w:tcPr>
            <w:vAlign w:val="center"/>
          </w:tcPr>
          <w:p w14:paraId="3C1C46F5">
            <w:pPr>
              <w:jc w:val="center"/>
            </w:pPr>
            <w:r>
              <w:t>0.00</w:t>
            </w:r>
          </w:p>
        </w:tc>
      </w:tr>
      <w:tr w14:paraId="77EA6A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10FC16A3">
            <w:pPr>
              <w:jc w:val="center"/>
            </w:pPr>
            <w:r>
              <w:t>6#</w:t>
            </w:r>
          </w:p>
        </w:tc>
        <w:tc>
          <w:tcPr>
            <w:vAlign w:val="center"/>
          </w:tcPr>
          <w:p w14:paraId="07C56E96">
            <w:pPr>
              <w:jc w:val="center"/>
            </w:pPr>
            <w:r>
              <w:t>6.60</w:t>
            </w:r>
          </w:p>
        </w:tc>
        <w:tc>
          <w:tcPr>
            <w:vAlign w:val="center"/>
          </w:tcPr>
          <w:p w14:paraId="16ED7BDD">
            <w:pPr>
              <w:jc w:val="center"/>
            </w:pPr>
            <w:r>
              <w:t>0.00</w:t>
            </w:r>
          </w:p>
        </w:tc>
      </w:tr>
      <w:tr w14:paraId="5D5280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49111F39">
            <w:pPr>
              <w:jc w:val="center"/>
            </w:pPr>
            <w:r>
              <w:t>7#</w:t>
            </w:r>
          </w:p>
        </w:tc>
        <w:tc>
          <w:tcPr>
            <w:vAlign w:val="center"/>
          </w:tcPr>
          <w:p w14:paraId="286888D3">
            <w:pPr>
              <w:jc w:val="center"/>
            </w:pPr>
            <w:r>
              <w:t>5.40</w:t>
            </w:r>
          </w:p>
        </w:tc>
        <w:tc>
          <w:tcPr>
            <w:vAlign w:val="center"/>
          </w:tcPr>
          <w:p w14:paraId="3BD143BA">
            <w:pPr>
              <w:jc w:val="center"/>
            </w:pPr>
            <w:r>
              <w:t>0.00</w:t>
            </w:r>
          </w:p>
        </w:tc>
      </w:tr>
      <w:tr w14:paraId="2AA49A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664E92EE">
            <w:pPr>
              <w:jc w:val="center"/>
            </w:pPr>
            <w:r>
              <w:t>8#</w:t>
            </w:r>
          </w:p>
        </w:tc>
        <w:tc>
          <w:tcPr>
            <w:vAlign w:val="center"/>
          </w:tcPr>
          <w:p w14:paraId="0CC2B31B">
            <w:pPr>
              <w:jc w:val="center"/>
            </w:pPr>
            <w:r>
              <w:t>6.60</w:t>
            </w:r>
          </w:p>
        </w:tc>
        <w:tc>
          <w:tcPr>
            <w:vAlign w:val="center"/>
          </w:tcPr>
          <w:p w14:paraId="6646BF63">
            <w:pPr>
              <w:jc w:val="center"/>
            </w:pPr>
            <w:r>
              <w:t>0.00</w:t>
            </w:r>
          </w:p>
        </w:tc>
      </w:tr>
      <w:tr w14:paraId="27D4B8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43F7510A">
            <w:pPr>
              <w:jc w:val="center"/>
            </w:pPr>
            <w:r>
              <w:t>9#</w:t>
            </w:r>
          </w:p>
        </w:tc>
        <w:tc>
          <w:tcPr>
            <w:vAlign w:val="center"/>
          </w:tcPr>
          <w:p w14:paraId="372701B7">
            <w:pPr>
              <w:jc w:val="center"/>
            </w:pPr>
            <w:r>
              <w:t>6.60</w:t>
            </w:r>
          </w:p>
        </w:tc>
        <w:tc>
          <w:tcPr>
            <w:vAlign w:val="center"/>
          </w:tcPr>
          <w:p w14:paraId="6F65A44B">
            <w:pPr>
              <w:jc w:val="center"/>
            </w:pPr>
            <w:r>
              <w:t>0.00</w:t>
            </w:r>
          </w:p>
        </w:tc>
      </w:tr>
      <w:tr w14:paraId="3D9C34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120435BF">
            <w:pPr>
              <w:jc w:val="center"/>
            </w:pPr>
            <w:r>
              <w:t>10#</w:t>
            </w:r>
          </w:p>
        </w:tc>
        <w:tc>
          <w:tcPr>
            <w:vAlign w:val="center"/>
          </w:tcPr>
          <w:p w14:paraId="44DFA82A">
            <w:pPr>
              <w:jc w:val="center"/>
            </w:pPr>
            <w:r>
              <w:t>6.60</w:t>
            </w:r>
          </w:p>
        </w:tc>
        <w:tc>
          <w:tcPr>
            <w:vAlign w:val="center"/>
          </w:tcPr>
          <w:p w14:paraId="7BA04380">
            <w:pPr>
              <w:jc w:val="center"/>
            </w:pPr>
            <w:r>
              <w:t>0.00</w:t>
            </w:r>
          </w:p>
        </w:tc>
      </w:tr>
      <w:tr w14:paraId="0A72BB59">
        <w:tblPrEx>
          <w:tblCellMar>
            <w:top w:w="0" w:type="dxa"/>
            <w:left w:w="108" w:type="dxa"/>
            <w:bottom w:w="0" w:type="dxa"/>
            <w:right w:w="108" w:type="dxa"/>
          </w:tblCellMar>
        </w:tblPrEx>
        <w:tc>
          <w:tcPr>
            <w:vAlign w:val="center"/>
          </w:tcPr>
          <w:p w14:paraId="03ADB4D4">
            <w:pPr>
              <w:jc w:val="center"/>
            </w:pPr>
            <w:r>
              <w:t>11#</w:t>
            </w:r>
          </w:p>
        </w:tc>
        <w:tc>
          <w:tcPr>
            <w:vAlign w:val="center"/>
          </w:tcPr>
          <w:p w14:paraId="3D1A7980">
            <w:pPr>
              <w:jc w:val="center"/>
            </w:pPr>
            <w:r>
              <w:t>5.40</w:t>
            </w:r>
          </w:p>
        </w:tc>
        <w:tc>
          <w:tcPr>
            <w:vAlign w:val="center"/>
          </w:tcPr>
          <w:p w14:paraId="1A5FA183">
            <w:pPr>
              <w:jc w:val="center"/>
            </w:pPr>
            <w:r>
              <w:t>0.00</w:t>
            </w:r>
          </w:p>
        </w:tc>
      </w:tr>
      <w:tr w14:paraId="75FED1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08275D41">
            <w:pPr>
              <w:jc w:val="center"/>
            </w:pPr>
            <w:r>
              <w:t>12#</w:t>
            </w:r>
          </w:p>
        </w:tc>
        <w:tc>
          <w:tcPr>
            <w:vAlign w:val="center"/>
          </w:tcPr>
          <w:p w14:paraId="68FAF360">
            <w:pPr>
              <w:jc w:val="center"/>
            </w:pPr>
            <w:r>
              <w:t>9.90</w:t>
            </w:r>
          </w:p>
        </w:tc>
        <w:tc>
          <w:tcPr>
            <w:vAlign w:val="center"/>
          </w:tcPr>
          <w:p w14:paraId="30A8EAF8">
            <w:pPr>
              <w:jc w:val="center"/>
            </w:pPr>
            <w:r>
              <w:t>0.00</w:t>
            </w:r>
          </w:p>
        </w:tc>
      </w:tr>
      <w:tr w14:paraId="11CB2E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7981EF9E">
            <w:pPr>
              <w:jc w:val="center"/>
            </w:pPr>
            <w:r>
              <w:t>13#</w:t>
            </w:r>
          </w:p>
        </w:tc>
        <w:tc>
          <w:tcPr>
            <w:vAlign w:val="center"/>
          </w:tcPr>
          <w:p w14:paraId="34493CA8">
            <w:pPr>
              <w:jc w:val="center"/>
            </w:pPr>
            <w:r>
              <w:t>6.60</w:t>
            </w:r>
          </w:p>
        </w:tc>
        <w:tc>
          <w:tcPr>
            <w:vAlign w:val="center"/>
          </w:tcPr>
          <w:p w14:paraId="5BC99AE7">
            <w:pPr>
              <w:jc w:val="center"/>
            </w:pPr>
            <w:r>
              <w:t>0.00</w:t>
            </w:r>
          </w:p>
        </w:tc>
      </w:tr>
      <w:tr w14:paraId="2C191D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30562BAD">
            <w:pPr>
              <w:jc w:val="center"/>
            </w:pPr>
            <w:r>
              <w:t>14#</w:t>
            </w:r>
          </w:p>
        </w:tc>
        <w:tc>
          <w:tcPr>
            <w:vAlign w:val="center"/>
          </w:tcPr>
          <w:p w14:paraId="551B4BB0">
            <w:pPr>
              <w:jc w:val="center"/>
            </w:pPr>
            <w:r>
              <w:t>6.60</w:t>
            </w:r>
          </w:p>
        </w:tc>
        <w:tc>
          <w:tcPr>
            <w:vAlign w:val="center"/>
          </w:tcPr>
          <w:p w14:paraId="1A0EB65C">
            <w:pPr>
              <w:jc w:val="center"/>
            </w:pPr>
            <w:r>
              <w:t>0.00</w:t>
            </w:r>
          </w:p>
        </w:tc>
      </w:tr>
      <w:tr w14:paraId="197A20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4DC41153">
            <w:pPr>
              <w:jc w:val="center"/>
            </w:pPr>
            <w:r>
              <w:t>15#</w:t>
            </w:r>
          </w:p>
        </w:tc>
        <w:tc>
          <w:tcPr>
            <w:vAlign w:val="center"/>
          </w:tcPr>
          <w:p w14:paraId="4E1F82AD">
            <w:pPr>
              <w:jc w:val="center"/>
            </w:pPr>
            <w:r>
              <w:t>6.60</w:t>
            </w:r>
          </w:p>
        </w:tc>
        <w:tc>
          <w:tcPr>
            <w:vAlign w:val="center"/>
          </w:tcPr>
          <w:p w14:paraId="1500AEB0">
            <w:pPr>
              <w:jc w:val="center"/>
            </w:pPr>
            <w:r>
              <w:t>0.00</w:t>
            </w:r>
          </w:p>
        </w:tc>
      </w:tr>
      <w:tr w14:paraId="1C978802">
        <w:tblPrEx>
          <w:tblCellMar>
            <w:top w:w="0" w:type="dxa"/>
            <w:left w:w="108" w:type="dxa"/>
            <w:bottom w:w="0" w:type="dxa"/>
            <w:right w:w="108" w:type="dxa"/>
          </w:tblCellMar>
        </w:tblPrEx>
        <w:tc>
          <w:tcPr>
            <w:vAlign w:val="center"/>
          </w:tcPr>
          <w:p w14:paraId="6E459CEC">
            <w:pPr>
              <w:jc w:val="center"/>
            </w:pPr>
            <w:r>
              <w:t>16#</w:t>
            </w:r>
          </w:p>
        </w:tc>
        <w:tc>
          <w:tcPr>
            <w:vAlign w:val="center"/>
          </w:tcPr>
          <w:p w14:paraId="2ED317DA">
            <w:pPr>
              <w:jc w:val="center"/>
            </w:pPr>
            <w:r>
              <w:t>5.40</w:t>
            </w:r>
          </w:p>
        </w:tc>
        <w:tc>
          <w:tcPr>
            <w:vAlign w:val="center"/>
          </w:tcPr>
          <w:p w14:paraId="1614361D">
            <w:pPr>
              <w:jc w:val="center"/>
            </w:pPr>
            <w:r>
              <w:t>0.00</w:t>
            </w:r>
          </w:p>
        </w:tc>
      </w:tr>
      <w:tr w14:paraId="11CC2E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557EC319">
            <w:pPr>
              <w:jc w:val="center"/>
            </w:pPr>
            <w:r>
              <w:t>17#</w:t>
            </w:r>
          </w:p>
        </w:tc>
        <w:tc>
          <w:tcPr>
            <w:vAlign w:val="center"/>
          </w:tcPr>
          <w:p w14:paraId="5FC7AF02">
            <w:pPr>
              <w:jc w:val="center"/>
            </w:pPr>
            <w:r>
              <w:t>3.30</w:t>
            </w:r>
          </w:p>
        </w:tc>
        <w:tc>
          <w:tcPr>
            <w:vAlign w:val="center"/>
          </w:tcPr>
          <w:p w14:paraId="2D8781CF">
            <w:pPr>
              <w:jc w:val="center"/>
            </w:pPr>
            <w:r>
              <w:t>0.00</w:t>
            </w:r>
          </w:p>
        </w:tc>
      </w:tr>
      <w:tr w14:paraId="340261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1004BE5D">
            <w:pPr>
              <w:jc w:val="center"/>
            </w:pPr>
            <w:r>
              <w:t>18#</w:t>
            </w:r>
          </w:p>
        </w:tc>
        <w:tc>
          <w:tcPr>
            <w:vAlign w:val="center"/>
          </w:tcPr>
          <w:p w14:paraId="77188F5A">
            <w:pPr>
              <w:jc w:val="center"/>
            </w:pPr>
            <w:r>
              <w:t>6.60</w:t>
            </w:r>
          </w:p>
        </w:tc>
        <w:tc>
          <w:tcPr>
            <w:vAlign w:val="center"/>
          </w:tcPr>
          <w:p w14:paraId="53E1CCE9">
            <w:pPr>
              <w:jc w:val="center"/>
            </w:pPr>
            <w:r>
              <w:t>0.00</w:t>
            </w:r>
          </w:p>
        </w:tc>
      </w:tr>
      <w:tr w14:paraId="45A4BB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45B29683">
            <w:pPr>
              <w:jc w:val="center"/>
            </w:pPr>
            <w:r>
              <w:t>19#</w:t>
            </w:r>
          </w:p>
        </w:tc>
        <w:tc>
          <w:tcPr>
            <w:vAlign w:val="center"/>
          </w:tcPr>
          <w:p w14:paraId="6F28636E">
            <w:pPr>
              <w:jc w:val="center"/>
            </w:pPr>
            <w:r>
              <w:t>6.60</w:t>
            </w:r>
          </w:p>
        </w:tc>
        <w:tc>
          <w:tcPr>
            <w:vAlign w:val="center"/>
          </w:tcPr>
          <w:p w14:paraId="6B5ABC3C">
            <w:pPr>
              <w:jc w:val="center"/>
            </w:pPr>
            <w:r>
              <w:t>0.00</w:t>
            </w:r>
          </w:p>
        </w:tc>
      </w:tr>
      <w:tr w14:paraId="50C499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538FA627">
            <w:pPr>
              <w:jc w:val="center"/>
            </w:pPr>
            <w:r>
              <w:t>20#</w:t>
            </w:r>
          </w:p>
        </w:tc>
        <w:tc>
          <w:tcPr>
            <w:vAlign w:val="center"/>
          </w:tcPr>
          <w:p w14:paraId="493569A8">
            <w:pPr>
              <w:jc w:val="center"/>
            </w:pPr>
            <w:r>
              <w:t>6.60</w:t>
            </w:r>
          </w:p>
        </w:tc>
        <w:tc>
          <w:tcPr>
            <w:vAlign w:val="center"/>
          </w:tcPr>
          <w:p w14:paraId="164C474E">
            <w:pPr>
              <w:jc w:val="center"/>
            </w:pPr>
            <w:r>
              <w:t>0.00</w:t>
            </w:r>
          </w:p>
        </w:tc>
      </w:tr>
      <w:tr w14:paraId="36FE75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29E3A7EC">
            <w:pPr>
              <w:jc w:val="center"/>
            </w:pPr>
            <w:r>
              <w:t>21#</w:t>
            </w:r>
          </w:p>
        </w:tc>
        <w:tc>
          <w:tcPr>
            <w:vAlign w:val="center"/>
          </w:tcPr>
          <w:p w14:paraId="3CA5BB4C">
            <w:pPr>
              <w:jc w:val="center"/>
            </w:pPr>
            <w:r>
              <w:t>5.40</w:t>
            </w:r>
          </w:p>
        </w:tc>
        <w:tc>
          <w:tcPr>
            <w:vAlign w:val="center"/>
          </w:tcPr>
          <w:p w14:paraId="52A21979">
            <w:pPr>
              <w:jc w:val="center"/>
            </w:pPr>
            <w:r>
              <w:t>0.00</w:t>
            </w:r>
          </w:p>
        </w:tc>
      </w:tr>
      <w:tr w14:paraId="171096C9">
        <w:tblPrEx>
          <w:tblCellMar>
            <w:top w:w="0" w:type="dxa"/>
            <w:left w:w="108" w:type="dxa"/>
            <w:bottom w:w="0" w:type="dxa"/>
            <w:right w:w="108" w:type="dxa"/>
          </w:tblCellMar>
        </w:tblPrEx>
        <w:tc>
          <w:tcPr>
            <w:vAlign w:val="center"/>
          </w:tcPr>
          <w:p w14:paraId="6361B90D">
            <w:pPr>
              <w:jc w:val="center"/>
            </w:pPr>
            <w:r>
              <w:t>22#</w:t>
            </w:r>
          </w:p>
        </w:tc>
        <w:tc>
          <w:tcPr>
            <w:vAlign w:val="center"/>
          </w:tcPr>
          <w:p w14:paraId="163828ED">
            <w:pPr>
              <w:jc w:val="center"/>
            </w:pPr>
            <w:r>
              <w:t>6.60</w:t>
            </w:r>
          </w:p>
        </w:tc>
        <w:tc>
          <w:tcPr>
            <w:vAlign w:val="center"/>
          </w:tcPr>
          <w:p w14:paraId="46E7697E">
            <w:pPr>
              <w:jc w:val="center"/>
            </w:pPr>
            <w:r>
              <w:t>0.00</w:t>
            </w:r>
          </w:p>
        </w:tc>
      </w:tr>
      <w:tr w14:paraId="5DE03D07">
        <w:tblPrEx>
          <w:tblCellMar>
            <w:top w:w="0" w:type="dxa"/>
            <w:left w:w="108" w:type="dxa"/>
            <w:bottom w:w="0" w:type="dxa"/>
            <w:right w:w="108" w:type="dxa"/>
          </w:tblCellMar>
        </w:tblPrEx>
        <w:tc>
          <w:tcPr>
            <w:vAlign w:val="center"/>
          </w:tcPr>
          <w:p w14:paraId="5D072C00">
            <w:pPr>
              <w:jc w:val="center"/>
            </w:pPr>
            <w:r>
              <w:t>23#</w:t>
            </w:r>
          </w:p>
        </w:tc>
        <w:tc>
          <w:tcPr>
            <w:vAlign w:val="center"/>
          </w:tcPr>
          <w:p w14:paraId="0A514EAB">
            <w:pPr>
              <w:jc w:val="center"/>
            </w:pPr>
            <w:r>
              <w:t>6.60</w:t>
            </w:r>
          </w:p>
        </w:tc>
        <w:tc>
          <w:tcPr>
            <w:vAlign w:val="center"/>
          </w:tcPr>
          <w:p w14:paraId="5BD24EBE">
            <w:pPr>
              <w:jc w:val="center"/>
            </w:pPr>
            <w:r>
              <w:t>0.00</w:t>
            </w:r>
          </w:p>
        </w:tc>
      </w:tr>
      <w:tr w14:paraId="6105495B">
        <w:tblPrEx>
          <w:tblCellMar>
            <w:top w:w="0" w:type="dxa"/>
            <w:left w:w="108" w:type="dxa"/>
            <w:bottom w:w="0" w:type="dxa"/>
            <w:right w:w="108" w:type="dxa"/>
          </w:tblCellMar>
        </w:tblPrEx>
        <w:tc>
          <w:tcPr>
            <w:vAlign w:val="center"/>
          </w:tcPr>
          <w:p w14:paraId="3D28534F">
            <w:pPr>
              <w:jc w:val="center"/>
            </w:pPr>
            <w:r>
              <w:t>24#</w:t>
            </w:r>
          </w:p>
        </w:tc>
        <w:tc>
          <w:tcPr>
            <w:vAlign w:val="center"/>
          </w:tcPr>
          <w:p w14:paraId="566C59E9">
            <w:pPr>
              <w:jc w:val="center"/>
            </w:pPr>
            <w:r>
              <w:t>6.60</w:t>
            </w:r>
          </w:p>
        </w:tc>
        <w:tc>
          <w:tcPr>
            <w:vAlign w:val="center"/>
          </w:tcPr>
          <w:p w14:paraId="0D55CB43">
            <w:pPr>
              <w:jc w:val="center"/>
            </w:pPr>
            <w:r>
              <w:t>0.00</w:t>
            </w:r>
          </w:p>
        </w:tc>
      </w:tr>
      <w:tr w14:paraId="2E983C9B">
        <w:tblPrEx>
          <w:tblCellMar>
            <w:top w:w="0" w:type="dxa"/>
            <w:left w:w="108" w:type="dxa"/>
            <w:bottom w:w="0" w:type="dxa"/>
            <w:right w:w="108" w:type="dxa"/>
          </w:tblCellMar>
        </w:tblPrEx>
        <w:tc>
          <w:tcPr>
            <w:vAlign w:val="center"/>
          </w:tcPr>
          <w:p w14:paraId="5E795AE7">
            <w:pPr>
              <w:jc w:val="center"/>
            </w:pPr>
            <w:r>
              <w:t>25#</w:t>
            </w:r>
          </w:p>
        </w:tc>
        <w:tc>
          <w:tcPr>
            <w:vAlign w:val="center"/>
          </w:tcPr>
          <w:p w14:paraId="5321BBB1">
            <w:pPr>
              <w:jc w:val="center"/>
            </w:pPr>
            <w:r>
              <w:t>6.60</w:t>
            </w:r>
          </w:p>
        </w:tc>
        <w:tc>
          <w:tcPr>
            <w:vAlign w:val="center"/>
          </w:tcPr>
          <w:p w14:paraId="0DF11BFD">
            <w:pPr>
              <w:jc w:val="center"/>
            </w:pPr>
            <w:r>
              <w:t>0.00</w:t>
            </w:r>
          </w:p>
        </w:tc>
      </w:tr>
      <w:tr w14:paraId="74EC03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66FDBB17">
            <w:pPr>
              <w:jc w:val="center"/>
            </w:pPr>
            <w:r>
              <w:t>26#</w:t>
            </w:r>
          </w:p>
        </w:tc>
        <w:tc>
          <w:tcPr>
            <w:vAlign w:val="center"/>
          </w:tcPr>
          <w:p w14:paraId="106C4835">
            <w:pPr>
              <w:jc w:val="center"/>
            </w:pPr>
            <w:r>
              <w:t>6.60</w:t>
            </w:r>
          </w:p>
        </w:tc>
        <w:tc>
          <w:tcPr>
            <w:vAlign w:val="center"/>
          </w:tcPr>
          <w:p w14:paraId="13C52158">
            <w:pPr>
              <w:jc w:val="center"/>
            </w:pPr>
            <w:r>
              <w:t>0.00</w:t>
            </w:r>
          </w:p>
        </w:tc>
      </w:tr>
      <w:tr w14:paraId="729FA9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37C278E7">
            <w:pPr>
              <w:jc w:val="center"/>
            </w:pPr>
            <w:r>
              <w:t>27#</w:t>
            </w:r>
          </w:p>
        </w:tc>
        <w:tc>
          <w:tcPr>
            <w:vAlign w:val="center"/>
          </w:tcPr>
          <w:p w14:paraId="7EF5F4B7">
            <w:pPr>
              <w:jc w:val="center"/>
            </w:pPr>
            <w:r>
              <w:t>6.60</w:t>
            </w:r>
          </w:p>
        </w:tc>
        <w:tc>
          <w:tcPr>
            <w:vAlign w:val="center"/>
          </w:tcPr>
          <w:p w14:paraId="7156C1F3">
            <w:pPr>
              <w:jc w:val="center"/>
            </w:pPr>
            <w:r>
              <w:t>0.00</w:t>
            </w:r>
          </w:p>
        </w:tc>
      </w:tr>
      <w:tr w14:paraId="122043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7A5E3B0F">
            <w:pPr>
              <w:jc w:val="center"/>
            </w:pPr>
            <w:r>
              <w:t>28#</w:t>
            </w:r>
          </w:p>
        </w:tc>
        <w:tc>
          <w:tcPr>
            <w:vAlign w:val="center"/>
          </w:tcPr>
          <w:p w14:paraId="5593BEA6">
            <w:pPr>
              <w:jc w:val="center"/>
            </w:pPr>
            <w:r>
              <w:t>6.60</w:t>
            </w:r>
          </w:p>
        </w:tc>
        <w:tc>
          <w:tcPr>
            <w:vAlign w:val="center"/>
          </w:tcPr>
          <w:p w14:paraId="71C841D1">
            <w:pPr>
              <w:jc w:val="center"/>
            </w:pPr>
            <w:r>
              <w:t>0.00</w:t>
            </w:r>
          </w:p>
        </w:tc>
      </w:tr>
      <w:tr w14:paraId="514665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11880BAC">
            <w:pPr>
              <w:jc w:val="center"/>
            </w:pPr>
            <w:r>
              <w:t>29#</w:t>
            </w:r>
          </w:p>
        </w:tc>
        <w:tc>
          <w:tcPr>
            <w:vAlign w:val="center"/>
          </w:tcPr>
          <w:p w14:paraId="3840B68D">
            <w:pPr>
              <w:jc w:val="center"/>
            </w:pPr>
            <w:r>
              <w:t>6.60</w:t>
            </w:r>
          </w:p>
        </w:tc>
        <w:tc>
          <w:tcPr>
            <w:vAlign w:val="center"/>
          </w:tcPr>
          <w:p w14:paraId="59F2DEB0">
            <w:pPr>
              <w:jc w:val="center"/>
            </w:pPr>
            <w:r>
              <w:t>0.00</w:t>
            </w:r>
          </w:p>
        </w:tc>
      </w:tr>
      <w:tr w14:paraId="7B5AF4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1684B40B">
            <w:pPr>
              <w:jc w:val="center"/>
            </w:pPr>
            <w:r>
              <w:t>30#</w:t>
            </w:r>
          </w:p>
        </w:tc>
        <w:tc>
          <w:tcPr>
            <w:vAlign w:val="center"/>
          </w:tcPr>
          <w:p w14:paraId="1B3369DA">
            <w:pPr>
              <w:jc w:val="center"/>
            </w:pPr>
            <w:r>
              <w:t>6.60</w:t>
            </w:r>
          </w:p>
        </w:tc>
        <w:tc>
          <w:tcPr>
            <w:vAlign w:val="center"/>
          </w:tcPr>
          <w:p w14:paraId="3A37BBAB">
            <w:pPr>
              <w:jc w:val="center"/>
            </w:pPr>
            <w:r>
              <w:t>0.00</w:t>
            </w:r>
          </w:p>
        </w:tc>
      </w:tr>
      <w:tr w14:paraId="2FAE1C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0BD8B399">
            <w:pPr>
              <w:jc w:val="center"/>
            </w:pPr>
            <w:r>
              <w:t>31#</w:t>
            </w:r>
          </w:p>
        </w:tc>
        <w:tc>
          <w:tcPr>
            <w:vAlign w:val="center"/>
          </w:tcPr>
          <w:p w14:paraId="3B01C204">
            <w:pPr>
              <w:jc w:val="center"/>
            </w:pPr>
            <w:r>
              <w:t>6.60</w:t>
            </w:r>
          </w:p>
        </w:tc>
        <w:tc>
          <w:tcPr>
            <w:vAlign w:val="center"/>
          </w:tcPr>
          <w:p w14:paraId="068831CD">
            <w:pPr>
              <w:jc w:val="center"/>
            </w:pPr>
            <w:r>
              <w:t>0.00</w:t>
            </w:r>
          </w:p>
        </w:tc>
      </w:tr>
      <w:tr w14:paraId="68A463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4274DD33">
            <w:pPr>
              <w:jc w:val="center"/>
            </w:pPr>
            <w:r>
              <w:t>32#</w:t>
            </w:r>
          </w:p>
        </w:tc>
        <w:tc>
          <w:tcPr>
            <w:vAlign w:val="center"/>
          </w:tcPr>
          <w:p w14:paraId="4B9DD8B1">
            <w:pPr>
              <w:jc w:val="center"/>
            </w:pPr>
            <w:r>
              <w:t>6.60</w:t>
            </w:r>
          </w:p>
        </w:tc>
        <w:tc>
          <w:tcPr>
            <w:vAlign w:val="center"/>
          </w:tcPr>
          <w:p w14:paraId="633CE532">
            <w:pPr>
              <w:jc w:val="center"/>
            </w:pPr>
            <w:r>
              <w:t>0.00</w:t>
            </w:r>
          </w:p>
        </w:tc>
      </w:tr>
      <w:tr w14:paraId="03A352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2DD3EC9B">
            <w:pPr>
              <w:jc w:val="center"/>
            </w:pPr>
            <w:r>
              <w:t>33#</w:t>
            </w:r>
          </w:p>
        </w:tc>
        <w:tc>
          <w:tcPr>
            <w:vAlign w:val="center"/>
          </w:tcPr>
          <w:p w14:paraId="20C0E01F">
            <w:pPr>
              <w:jc w:val="center"/>
            </w:pPr>
            <w:r>
              <w:t>6.60</w:t>
            </w:r>
          </w:p>
        </w:tc>
        <w:tc>
          <w:tcPr>
            <w:vAlign w:val="center"/>
          </w:tcPr>
          <w:p w14:paraId="5A714AA1">
            <w:pPr>
              <w:jc w:val="center"/>
            </w:pPr>
            <w:r>
              <w:t>0.00</w:t>
            </w:r>
          </w:p>
        </w:tc>
      </w:tr>
      <w:tr w14:paraId="4DE3BD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0F973FBD">
            <w:pPr>
              <w:jc w:val="center"/>
            </w:pPr>
            <w:r>
              <w:t>34#</w:t>
            </w:r>
          </w:p>
        </w:tc>
        <w:tc>
          <w:tcPr>
            <w:vAlign w:val="center"/>
          </w:tcPr>
          <w:p w14:paraId="111B4D37">
            <w:pPr>
              <w:jc w:val="center"/>
            </w:pPr>
            <w:r>
              <w:t>6.60</w:t>
            </w:r>
          </w:p>
        </w:tc>
        <w:tc>
          <w:tcPr>
            <w:vAlign w:val="center"/>
          </w:tcPr>
          <w:p w14:paraId="7FC36BD9">
            <w:pPr>
              <w:jc w:val="center"/>
            </w:pPr>
            <w:r>
              <w:t>0.00</w:t>
            </w:r>
          </w:p>
        </w:tc>
      </w:tr>
      <w:tr w14:paraId="37EF6E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0A41E9DD">
            <w:pPr>
              <w:jc w:val="center"/>
            </w:pPr>
            <w:r>
              <w:t>35#</w:t>
            </w:r>
          </w:p>
        </w:tc>
        <w:tc>
          <w:tcPr>
            <w:vAlign w:val="center"/>
          </w:tcPr>
          <w:p w14:paraId="6E8FB21B">
            <w:pPr>
              <w:jc w:val="center"/>
            </w:pPr>
            <w:r>
              <w:t>6.60</w:t>
            </w:r>
          </w:p>
        </w:tc>
        <w:tc>
          <w:tcPr>
            <w:vAlign w:val="center"/>
          </w:tcPr>
          <w:p w14:paraId="7447ECE3">
            <w:pPr>
              <w:jc w:val="center"/>
            </w:pPr>
            <w:r>
              <w:t>0.00</w:t>
            </w:r>
          </w:p>
        </w:tc>
      </w:tr>
      <w:tr w14:paraId="28EE90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1A554388">
            <w:pPr>
              <w:jc w:val="center"/>
            </w:pPr>
            <w:r>
              <w:t>36#</w:t>
            </w:r>
          </w:p>
        </w:tc>
        <w:tc>
          <w:tcPr>
            <w:vAlign w:val="center"/>
          </w:tcPr>
          <w:p w14:paraId="57EAC487">
            <w:pPr>
              <w:jc w:val="center"/>
            </w:pPr>
            <w:r>
              <w:t>6.60</w:t>
            </w:r>
          </w:p>
        </w:tc>
        <w:tc>
          <w:tcPr>
            <w:vAlign w:val="center"/>
          </w:tcPr>
          <w:p w14:paraId="5AC95884">
            <w:pPr>
              <w:jc w:val="center"/>
            </w:pPr>
            <w:r>
              <w:t>0.00</w:t>
            </w:r>
          </w:p>
        </w:tc>
      </w:tr>
      <w:tr w14:paraId="71CA37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68A88536">
            <w:pPr>
              <w:jc w:val="center"/>
            </w:pPr>
            <w:r>
              <w:t>37#</w:t>
            </w:r>
          </w:p>
        </w:tc>
        <w:tc>
          <w:tcPr>
            <w:vAlign w:val="center"/>
          </w:tcPr>
          <w:p w14:paraId="237D9D73">
            <w:pPr>
              <w:jc w:val="center"/>
            </w:pPr>
            <w:r>
              <w:t>5.40</w:t>
            </w:r>
          </w:p>
        </w:tc>
        <w:tc>
          <w:tcPr>
            <w:vAlign w:val="center"/>
          </w:tcPr>
          <w:p w14:paraId="329EE7DF">
            <w:pPr>
              <w:jc w:val="center"/>
            </w:pPr>
            <w:r>
              <w:t>0.00</w:t>
            </w:r>
          </w:p>
        </w:tc>
      </w:tr>
      <w:tr w14:paraId="69F1D5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55DBD083">
            <w:pPr>
              <w:jc w:val="center"/>
            </w:pPr>
            <w:r>
              <w:t>38#</w:t>
            </w:r>
          </w:p>
        </w:tc>
        <w:tc>
          <w:tcPr>
            <w:vAlign w:val="center"/>
          </w:tcPr>
          <w:p w14:paraId="5145B377">
            <w:pPr>
              <w:jc w:val="center"/>
            </w:pPr>
            <w:r>
              <w:t>3.30</w:t>
            </w:r>
          </w:p>
        </w:tc>
        <w:tc>
          <w:tcPr>
            <w:vAlign w:val="center"/>
          </w:tcPr>
          <w:p w14:paraId="5161D424">
            <w:pPr>
              <w:jc w:val="center"/>
            </w:pPr>
            <w:r>
              <w:t>0.00</w:t>
            </w:r>
          </w:p>
        </w:tc>
      </w:tr>
      <w:tr w14:paraId="7AD6FE55">
        <w:tblPrEx>
          <w:tblCellMar>
            <w:top w:w="0" w:type="dxa"/>
            <w:left w:w="108" w:type="dxa"/>
            <w:bottom w:w="0" w:type="dxa"/>
            <w:right w:w="108" w:type="dxa"/>
          </w:tblCellMar>
        </w:tblPrEx>
        <w:tc>
          <w:tcPr>
            <w:vAlign w:val="center"/>
          </w:tcPr>
          <w:p w14:paraId="63554DD0">
            <w:pPr>
              <w:jc w:val="center"/>
            </w:pPr>
            <w:r>
              <w:t>39#</w:t>
            </w:r>
          </w:p>
        </w:tc>
        <w:tc>
          <w:tcPr>
            <w:vAlign w:val="center"/>
          </w:tcPr>
          <w:p w14:paraId="13F334EC">
            <w:pPr>
              <w:jc w:val="center"/>
            </w:pPr>
            <w:r>
              <w:t>5.40</w:t>
            </w:r>
          </w:p>
        </w:tc>
        <w:tc>
          <w:tcPr>
            <w:vAlign w:val="center"/>
          </w:tcPr>
          <w:p w14:paraId="46A8D661">
            <w:pPr>
              <w:jc w:val="center"/>
            </w:pPr>
            <w:r>
              <w:t>0.00</w:t>
            </w:r>
          </w:p>
        </w:tc>
      </w:tr>
      <w:tr w14:paraId="09E141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629E4E2E">
            <w:pPr>
              <w:jc w:val="center"/>
            </w:pPr>
            <w:r>
              <w:t>40#</w:t>
            </w:r>
          </w:p>
        </w:tc>
        <w:tc>
          <w:tcPr>
            <w:vAlign w:val="center"/>
          </w:tcPr>
          <w:p w14:paraId="61868208">
            <w:pPr>
              <w:jc w:val="center"/>
            </w:pPr>
            <w:r>
              <w:t>6.60</w:t>
            </w:r>
          </w:p>
        </w:tc>
        <w:tc>
          <w:tcPr>
            <w:vAlign w:val="center"/>
          </w:tcPr>
          <w:p w14:paraId="5991D908">
            <w:pPr>
              <w:jc w:val="center"/>
            </w:pPr>
            <w:r>
              <w:t>0.00</w:t>
            </w:r>
          </w:p>
        </w:tc>
      </w:tr>
      <w:tr w14:paraId="5A8F04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10FBC12E">
            <w:pPr>
              <w:jc w:val="center"/>
            </w:pPr>
            <w:r>
              <w:t>41#</w:t>
            </w:r>
          </w:p>
        </w:tc>
        <w:tc>
          <w:tcPr>
            <w:vAlign w:val="center"/>
          </w:tcPr>
          <w:p w14:paraId="54CE889E">
            <w:pPr>
              <w:jc w:val="center"/>
            </w:pPr>
            <w:r>
              <w:t>6.60</w:t>
            </w:r>
          </w:p>
        </w:tc>
        <w:tc>
          <w:tcPr>
            <w:vAlign w:val="center"/>
          </w:tcPr>
          <w:p w14:paraId="29F5AFE1">
            <w:pPr>
              <w:jc w:val="center"/>
            </w:pPr>
            <w:r>
              <w:t>0.00</w:t>
            </w:r>
          </w:p>
        </w:tc>
      </w:tr>
      <w:tr w14:paraId="2A3B1C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66FA4610">
            <w:pPr>
              <w:jc w:val="center"/>
            </w:pPr>
            <w:r>
              <w:t>42#</w:t>
            </w:r>
          </w:p>
        </w:tc>
        <w:tc>
          <w:tcPr>
            <w:vAlign w:val="center"/>
          </w:tcPr>
          <w:p w14:paraId="08C137B5">
            <w:pPr>
              <w:jc w:val="center"/>
            </w:pPr>
            <w:r>
              <w:t>6.60</w:t>
            </w:r>
          </w:p>
        </w:tc>
        <w:tc>
          <w:tcPr>
            <w:vAlign w:val="center"/>
          </w:tcPr>
          <w:p w14:paraId="5AADC8F9">
            <w:pPr>
              <w:jc w:val="center"/>
            </w:pPr>
            <w:r>
              <w:t>0.00</w:t>
            </w:r>
          </w:p>
        </w:tc>
      </w:tr>
      <w:tr w14:paraId="32E9FC65">
        <w:tblPrEx>
          <w:tblCellMar>
            <w:top w:w="0" w:type="dxa"/>
            <w:left w:w="108" w:type="dxa"/>
            <w:bottom w:w="0" w:type="dxa"/>
            <w:right w:w="108" w:type="dxa"/>
          </w:tblCellMar>
        </w:tblPrEx>
        <w:tc>
          <w:tcPr>
            <w:vAlign w:val="center"/>
          </w:tcPr>
          <w:p w14:paraId="77E8A977">
            <w:pPr>
              <w:jc w:val="center"/>
            </w:pPr>
            <w:r>
              <w:t>43#</w:t>
            </w:r>
          </w:p>
        </w:tc>
        <w:tc>
          <w:tcPr>
            <w:vAlign w:val="center"/>
          </w:tcPr>
          <w:p w14:paraId="26E61852">
            <w:pPr>
              <w:jc w:val="center"/>
            </w:pPr>
            <w:r>
              <w:t>6.60</w:t>
            </w:r>
          </w:p>
        </w:tc>
        <w:tc>
          <w:tcPr>
            <w:vAlign w:val="center"/>
          </w:tcPr>
          <w:p w14:paraId="3FEA1818">
            <w:pPr>
              <w:jc w:val="center"/>
            </w:pPr>
            <w:r>
              <w:t>0.00</w:t>
            </w:r>
          </w:p>
        </w:tc>
      </w:tr>
      <w:tr w14:paraId="5956A257">
        <w:tblPrEx>
          <w:tblCellMar>
            <w:top w:w="0" w:type="dxa"/>
            <w:left w:w="108" w:type="dxa"/>
            <w:bottom w:w="0" w:type="dxa"/>
            <w:right w:w="108" w:type="dxa"/>
          </w:tblCellMar>
        </w:tblPrEx>
        <w:tc>
          <w:tcPr>
            <w:vAlign w:val="center"/>
          </w:tcPr>
          <w:p w14:paraId="5D83CC4F">
            <w:pPr>
              <w:jc w:val="center"/>
            </w:pPr>
            <w:r>
              <w:t>44#</w:t>
            </w:r>
          </w:p>
        </w:tc>
        <w:tc>
          <w:tcPr>
            <w:vAlign w:val="center"/>
          </w:tcPr>
          <w:p w14:paraId="3C78F9DB">
            <w:pPr>
              <w:jc w:val="center"/>
            </w:pPr>
            <w:r>
              <w:t>5.40</w:t>
            </w:r>
          </w:p>
        </w:tc>
        <w:tc>
          <w:tcPr>
            <w:vAlign w:val="center"/>
          </w:tcPr>
          <w:p w14:paraId="58794C5D">
            <w:pPr>
              <w:jc w:val="center"/>
            </w:pPr>
            <w:r>
              <w:t>0.00</w:t>
            </w:r>
          </w:p>
        </w:tc>
      </w:tr>
      <w:tr w14:paraId="7E7516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190B39FB">
            <w:pPr>
              <w:jc w:val="center"/>
            </w:pPr>
            <w:r>
              <w:t>45#</w:t>
            </w:r>
          </w:p>
        </w:tc>
        <w:tc>
          <w:tcPr>
            <w:vAlign w:val="center"/>
          </w:tcPr>
          <w:p w14:paraId="049C4D34">
            <w:pPr>
              <w:jc w:val="center"/>
            </w:pPr>
            <w:r>
              <w:t>6.60</w:t>
            </w:r>
          </w:p>
        </w:tc>
        <w:tc>
          <w:tcPr>
            <w:vAlign w:val="center"/>
          </w:tcPr>
          <w:p w14:paraId="6EE8C6A1">
            <w:pPr>
              <w:jc w:val="center"/>
            </w:pPr>
            <w:r>
              <w:t>0.00</w:t>
            </w:r>
          </w:p>
        </w:tc>
      </w:tr>
      <w:tr w14:paraId="20A135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0B1D73A9">
            <w:pPr>
              <w:jc w:val="center"/>
            </w:pPr>
            <w:r>
              <w:t>46#</w:t>
            </w:r>
          </w:p>
        </w:tc>
        <w:tc>
          <w:tcPr>
            <w:vAlign w:val="center"/>
          </w:tcPr>
          <w:p w14:paraId="4EEC38C3">
            <w:pPr>
              <w:jc w:val="center"/>
            </w:pPr>
            <w:r>
              <w:t>6.60</w:t>
            </w:r>
          </w:p>
        </w:tc>
        <w:tc>
          <w:tcPr>
            <w:vAlign w:val="center"/>
          </w:tcPr>
          <w:p w14:paraId="30DA06BF">
            <w:pPr>
              <w:jc w:val="center"/>
            </w:pPr>
            <w:r>
              <w:t>0.00</w:t>
            </w:r>
          </w:p>
        </w:tc>
      </w:tr>
      <w:tr w14:paraId="21E97D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6D749221">
            <w:pPr>
              <w:jc w:val="center"/>
            </w:pPr>
            <w:r>
              <w:t>47#</w:t>
            </w:r>
          </w:p>
        </w:tc>
        <w:tc>
          <w:tcPr>
            <w:vAlign w:val="center"/>
          </w:tcPr>
          <w:p w14:paraId="45B5A1CA">
            <w:pPr>
              <w:jc w:val="center"/>
            </w:pPr>
            <w:r>
              <w:t>6.60</w:t>
            </w:r>
          </w:p>
        </w:tc>
        <w:tc>
          <w:tcPr>
            <w:vAlign w:val="center"/>
          </w:tcPr>
          <w:p w14:paraId="09425D20">
            <w:pPr>
              <w:jc w:val="center"/>
            </w:pPr>
            <w:r>
              <w:t>0.00</w:t>
            </w:r>
          </w:p>
        </w:tc>
      </w:tr>
      <w:tr w14:paraId="31E8CEF8">
        <w:tblPrEx>
          <w:tblCellMar>
            <w:top w:w="0" w:type="dxa"/>
            <w:left w:w="108" w:type="dxa"/>
            <w:bottom w:w="0" w:type="dxa"/>
            <w:right w:w="108" w:type="dxa"/>
          </w:tblCellMar>
        </w:tblPrEx>
        <w:tc>
          <w:tcPr>
            <w:vAlign w:val="center"/>
          </w:tcPr>
          <w:p w14:paraId="11921B16">
            <w:pPr>
              <w:jc w:val="center"/>
            </w:pPr>
            <w:r>
              <w:t>48#</w:t>
            </w:r>
          </w:p>
        </w:tc>
        <w:tc>
          <w:tcPr>
            <w:vAlign w:val="center"/>
          </w:tcPr>
          <w:p w14:paraId="4B8CC781">
            <w:pPr>
              <w:jc w:val="center"/>
            </w:pPr>
            <w:r>
              <w:t>6.60</w:t>
            </w:r>
          </w:p>
        </w:tc>
        <w:tc>
          <w:tcPr>
            <w:vAlign w:val="center"/>
          </w:tcPr>
          <w:p w14:paraId="7D5FD07B">
            <w:pPr>
              <w:jc w:val="center"/>
            </w:pPr>
            <w:r>
              <w:t>0.00</w:t>
            </w:r>
          </w:p>
        </w:tc>
      </w:tr>
      <w:tr w14:paraId="3B8C46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04EC80FC">
            <w:pPr>
              <w:jc w:val="center"/>
            </w:pPr>
            <w:r>
              <w:t>49#</w:t>
            </w:r>
          </w:p>
        </w:tc>
        <w:tc>
          <w:tcPr>
            <w:vAlign w:val="center"/>
          </w:tcPr>
          <w:p w14:paraId="75BE04E1">
            <w:pPr>
              <w:jc w:val="center"/>
            </w:pPr>
            <w:r>
              <w:t>6.60</w:t>
            </w:r>
          </w:p>
        </w:tc>
        <w:tc>
          <w:tcPr>
            <w:vAlign w:val="center"/>
          </w:tcPr>
          <w:p w14:paraId="411756F6">
            <w:pPr>
              <w:jc w:val="center"/>
            </w:pPr>
            <w:r>
              <w:t>0.00</w:t>
            </w:r>
          </w:p>
        </w:tc>
      </w:tr>
      <w:tr w14:paraId="1F50B8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75D0CF22">
            <w:pPr>
              <w:jc w:val="center"/>
            </w:pPr>
            <w:r>
              <w:t>50#</w:t>
            </w:r>
          </w:p>
        </w:tc>
        <w:tc>
          <w:tcPr>
            <w:vAlign w:val="center"/>
          </w:tcPr>
          <w:p w14:paraId="30352BEF">
            <w:pPr>
              <w:jc w:val="center"/>
            </w:pPr>
            <w:r>
              <w:t>6.60</w:t>
            </w:r>
          </w:p>
        </w:tc>
        <w:tc>
          <w:tcPr>
            <w:vAlign w:val="center"/>
          </w:tcPr>
          <w:p w14:paraId="792CA027">
            <w:pPr>
              <w:jc w:val="center"/>
            </w:pPr>
            <w:r>
              <w:t>0.00</w:t>
            </w:r>
          </w:p>
        </w:tc>
      </w:tr>
      <w:tr w14:paraId="09D15D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51E91D53">
            <w:pPr>
              <w:jc w:val="center"/>
            </w:pPr>
            <w:r>
              <w:t>51#</w:t>
            </w:r>
          </w:p>
        </w:tc>
        <w:tc>
          <w:tcPr>
            <w:vAlign w:val="center"/>
          </w:tcPr>
          <w:p w14:paraId="7F5266D6">
            <w:pPr>
              <w:jc w:val="center"/>
            </w:pPr>
            <w:r>
              <w:t>6.60</w:t>
            </w:r>
          </w:p>
        </w:tc>
        <w:tc>
          <w:tcPr>
            <w:vAlign w:val="center"/>
          </w:tcPr>
          <w:p w14:paraId="1C17426D">
            <w:pPr>
              <w:jc w:val="center"/>
            </w:pPr>
            <w:r>
              <w:t>0.00</w:t>
            </w:r>
          </w:p>
        </w:tc>
      </w:tr>
      <w:tr w14:paraId="79D5DE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21D8F511">
            <w:pPr>
              <w:jc w:val="center"/>
            </w:pPr>
            <w:r>
              <w:t>52#</w:t>
            </w:r>
          </w:p>
        </w:tc>
        <w:tc>
          <w:tcPr>
            <w:vAlign w:val="center"/>
          </w:tcPr>
          <w:p w14:paraId="0CA77EDD">
            <w:pPr>
              <w:jc w:val="center"/>
            </w:pPr>
            <w:r>
              <w:t>6.60</w:t>
            </w:r>
          </w:p>
        </w:tc>
        <w:tc>
          <w:tcPr>
            <w:vAlign w:val="center"/>
          </w:tcPr>
          <w:p w14:paraId="4AC73EA7">
            <w:pPr>
              <w:jc w:val="center"/>
            </w:pPr>
            <w:r>
              <w:t>0.00</w:t>
            </w:r>
          </w:p>
        </w:tc>
      </w:tr>
      <w:tr w14:paraId="0B7351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6EDDF20A">
            <w:pPr>
              <w:jc w:val="center"/>
            </w:pPr>
            <w:r>
              <w:t>53#</w:t>
            </w:r>
          </w:p>
        </w:tc>
        <w:tc>
          <w:tcPr>
            <w:vAlign w:val="center"/>
          </w:tcPr>
          <w:p w14:paraId="3D33C371">
            <w:pPr>
              <w:jc w:val="center"/>
            </w:pPr>
            <w:r>
              <w:t>6.60</w:t>
            </w:r>
          </w:p>
        </w:tc>
        <w:tc>
          <w:tcPr>
            <w:vAlign w:val="center"/>
          </w:tcPr>
          <w:p w14:paraId="24172C04">
            <w:pPr>
              <w:jc w:val="center"/>
            </w:pPr>
            <w:r>
              <w:t>0.00</w:t>
            </w:r>
          </w:p>
        </w:tc>
      </w:tr>
      <w:tr w14:paraId="393EAE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3DE75CDE">
            <w:pPr>
              <w:jc w:val="center"/>
            </w:pPr>
            <w:r>
              <w:t>54#</w:t>
            </w:r>
          </w:p>
        </w:tc>
        <w:tc>
          <w:tcPr>
            <w:vAlign w:val="center"/>
          </w:tcPr>
          <w:p w14:paraId="799F4BAA">
            <w:pPr>
              <w:jc w:val="center"/>
            </w:pPr>
            <w:r>
              <w:t>6.60</w:t>
            </w:r>
          </w:p>
        </w:tc>
        <w:tc>
          <w:tcPr>
            <w:vAlign w:val="center"/>
          </w:tcPr>
          <w:p w14:paraId="3257E16F">
            <w:pPr>
              <w:jc w:val="center"/>
            </w:pPr>
            <w:r>
              <w:t>0.00</w:t>
            </w:r>
          </w:p>
        </w:tc>
      </w:tr>
      <w:tr w14:paraId="4FE6BC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533AD360">
            <w:pPr>
              <w:jc w:val="center"/>
            </w:pPr>
            <w:r>
              <w:t>55#</w:t>
            </w:r>
          </w:p>
        </w:tc>
        <w:tc>
          <w:tcPr>
            <w:vAlign w:val="center"/>
          </w:tcPr>
          <w:p w14:paraId="1AA4CFD0">
            <w:pPr>
              <w:jc w:val="center"/>
            </w:pPr>
            <w:r>
              <w:t>6.60</w:t>
            </w:r>
          </w:p>
        </w:tc>
        <w:tc>
          <w:tcPr>
            <w:vAlign w:val="center"/>
          </w:tcPr>
          <w:p w14:paraId="5E191E71">
            <w:pPr>
              <w:jc w:val="center"/>
            </w:pPr>
            <w:r>
              <w:t>0.00</w:t>
            </w:r>
          </w:p>
        </w:tc>
      </w:tr>
      <w:tr w14:paraId="216236D0">
        <w:tblPrEx>
          <w:tblCellMar>
            <w:top w:w="0" w:type="dxa"/>
            <w:left w:w="108" w:type="dxa"/>
            <w:bottom w:w="0" w:type="dxa"/>
            <w:right w:w="108" w:type="dxa"/>
          </w:tblCellMar>
        </w:tblPrEx>
        <w:tc>
          <w:tcPr>
            <w:vAlign w:val="center"/>
          </w:tcPr>
          <w:p w14:paraId="34365B9F">
            <w:pPr>
              <w:jc w:val="center"/>
            </w:pPr>
            <w:r>
              <w:t>56#</w:t>
            </w:r>
          </w:p>
        </w:tc>
        <w:tc>
          <w:tcPr>
            <w:vAlign w:val="center"/>
          </w:tcPr>
          <w:p w14:paraId="3CFDDD35">
            <w:pPr>
              <w:jc w:val="center"/>
            </w:pPr>
            <w:r>
              <w:t>6.60</w:t>
            </w:r>
          </w:p>
        </w:tc>
        <w:tc>
          <w:tcPr>
            <w:vAlign w:val="center"/>
          </w:tcPr>
          <w:p w14:paraId="05E642FA">
            <w:pPr>
              <w:jc w:val="center"/>
            </w:pPr>
            <w:r>
              <w:t>0.00</w:t>
            </w:r>
          </w:p>
        </w:tc>
      </w:tr>
      <w:tr w14:paraId="3A6DEF03">
        <w:tblPrEx>
          <w:tblCellMar>
            <w:top w:w="0" w:type="dxa"/>
            <w:left w:w="108" w:type="dxa"/>
            <w:bottom w:w="0" w:type="dxa"/>
            <w:right w:w="108" w:type="dxa"/>
          </w:tblCellMar>
        </w:tblPrEx>
        <w:tc>
          <w:tcPr>
            <w:vAlign w:val="center"/>
          </w:tcPr>
          <w:p w14:paraId="254CD578">
            <w:pPr>
              <w:jc w:val="center"/>
            </w:pPr>
            <w:r>
              <w:t>57#</w:t>
            </w:r>
          </w:p>
        </w:tc>
        <w:tc>
          <w:tcPr>
            <w:vAlign w:val="center"/>
          </w:tcPr>
          <w:p w14:paraId="34021E90">
            <w:pPr>
              <w:jc w:val="center"/>
            </w:pPr>
            <w:r>
              <w:t>6.60</w:t>
            </w:r>
          </w:p>
        </w:tc>
        <w:tc>
          <w:tcPr>
            <w:vAlign w:val="center"/>
          </w:tcPr>
          <w:p w14:paraId="60DA89EE">
            <w:pPr>
              <w:jc w:val="center"/>
            </w:pPr>
            <w:r>
              <w:t>0.00</w:t>
            </w:r>
          </w:p>
        </w:tc>
      </w:tr>
      <w:tr w14:paraId="0E0E6FA1">
        <w:tblPrEx>
          <w:tblCellMar>
            <w:top w:w="0" w:type="dxa"/>
            <w:left w:w="108" w:type="dxa"/>
            <w:bottom w:w="0" w:type="dxa"/>
            <w:right w:w="108" w:type="dxa"/>
          </w:tblCellMar>
        </w:tblPrEx>
        <w:tc>
          <w:tcPr>
            <w:vAlign w:val="center"/>
          </w:tcPr>
          <w:p w14:paraId="21AD1756">
            <w:pPr>
              <w:jc w:val="center"/>
            </w:pPr>
            <w:r>
              <w:t>58#</w:t>
            </w:r>
          </w:p>
        </w:tc>
        <w:tc>
          <w:tcPr>
            <w:vAlign w:val="center"/>
          </w:tcPr>
          <w:p w14:paraId="10379AD3">
            <w:pPr>
              <w:jc w:val="center"/>
            </w:pPr>
            <w:r>
              <w:t>6.60</w:t>
            </w:r>
          </w:p>
        </w:tc>
        <w:tc>
          <w:tcPr>
            <w:vAlign w:val="center"/>
          </w:tcPr>
          <w:p w14:paraId="0EA012A1">
            <w:pPr>
              <w:jc w:val="center"/>
            </w:pPr>
            <w:r>
              <w:t>0.00</w:t>
            </w:r>
          </w:p>
        </w:tc>
      </w:tr>
      <w:tr w14:paraId="451E4EB5">
        <w:tblPrEx>
          <w:tblCellMar>
            <w:top w:w="0" w:type="dxa"/>
            <w:left w:w="108" w:type="dxa"/>
            <w:bottom w:w="0" w:type="dxa"/>
            <w:right w:w="108" w:type="dxa"/>
          </w:tblCellMar>
        </w:tblPrEx>
        <w:tc>
          <w:tcPr>
            <w:vAlign w:val="center"/>
          </w:tcPr>
          <w:p w14:paraId="7B9BA8CD">
            <w:pPr>
              <w:jc w:val="center"/>
            </w:pPr>
            <w:r>
              <w:t>59#</w:t>
            </w:r>
          </w:p>
        </w:tc>
        <w:tc>
          <w:tcPr>
            <w:vAlign w:val="center"/>
          </w:tcPr>
          <w:p w14:paraId="54B43AF7">
            <w:pPr>
              <w:jc w:val="center"/>
            </w:pPr>
            <w:r>
              <w:t>6.60</w:t>
            </w:r>
          </w:p>
        </w:tc>
        <w:tc>
          <w:tcPr>
            <w:vAlign w:val="center"/>
          </w:tcPr>
          <w:p w14:paraId="633EEBE7">
            <w:pPr>
              <w:jc w:val="center"/>
            </w:pPr>
            <w:r>
              <w:t>0.00</w:t>
            </w:r>
          </w:p>
        </w:tc>
      </w:tr>
      <w:tr w14:paraId="6A46EE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4CDB3019">
            <w:pPr>
              <w:jc w:val="center"/>
            </w:pPr>
            <w:r>
              <w:t>60#</w:t>
            </w:r>
          </w:p>
        </w:tc>
        <w:tc>
          <w:tcPr>
            <w:vAlign w:val="center"/>
          </w:tcPr>
          <w:p w14:paraId="5A51F948">
            <w:pPr>
              <w:jc w:val="center"/>
            </w:pPr>
            <w:r>
              <w:t>6.60</w:t>
            </w:r>
          </w:p>
        </w:tc>
        <w:tc>
          <w:tcPr>
            <w:vAlign w:val="center"/>
          </w:tcPr>
          <w:p w14:paraId="1482FED2">
            <w:pPr>
              <w:jc w:val="center"/>
            </w:pPr>
            <w:r>
              <w:t>0.00</w:t>
            </w:r>
          </w:p>
        </w:tc>
      </w:tr>
      <w:tr w14:paraId="6BBB8AED">
        <w:tblPrEx>
          <w:tblCellMar>
            <w:top w:w="0" w:type="dxa"/>
            <w:left w:w="108" w:type="dxa"/>
            <w:bottom w:w="0" w:type="dxa"/>
            <w:right w:w="108" w:type="dxa"/>
          </w:tblCellMar>
        </w:tblPrEx>
        <w:tc>
          <w:tcPr>
            <w:vAlign w:val="center"/>
          </w:tcPr>
          <w:p w14:paraId="6F68BE50">
            <w:pPr>
              <w:jc w:val="center"/>
            </w:pPr>
            <w:r>
              <w:t>61#</w:t>
            </w:r>
          </w:p>
        </w:tc>
        <w:tc>
          <w:tcPr>
            <w:vAlign w:val="center"/>
          </w:tcPr>
          <w:p w14:paraId="2E735B92">
            <w:pPr>
              <w:jc w:val="center"/>
            </w:pPr>
            <w:r>
              <w:t>6.60</w:t>
            </w:r>
          </w:p>
        </w:tc>
        <w:tc>
          <w:tcPr>
            <w:vAlign w:val="center"/>
          </w:tcPr>
          <w:p w14:paraId="1E7D15E2">
            <w:pPr>
              <w:jc w:val="center"/>
            </w:pPr>
            <w:r>
              <w:t>0.00</w:t>
            </w:r>
          </w:p>
        </w:tc>
      </w:tr>
      <w:tr w14:paraId="076A9D36">
        <w:tblPrEx>
          <w:tblCellMar>
            <w:top w:w="0" w:type="dxa"/>
            <w:left w:w="108" w:type="dxa"/>
            <w:bottom w:w="0" w:type="dxa"/>
            <w:right w:w="108" w:type="dxa"/>
          </w:tblCellMar>
        </w:tblPrEx>
        <w:tc>
          <w:tcPr>
            <w:vAlign w:val="center"/>
          </w:tcPr>
          <w:p w14:paraId="0E1F9855">
            <w:pPr>
              <w:jc w:val="center"/>
            </w:pPr>
            <w:r>
              <w:t>62#</w:t>
            </w:r>
          </w:p>
        </w:tc>
        <w:tc>
          <w:tcPr>
            <w:vAlign w:val="center"/>
          </w:tcPr>
          <w:p w14:paraId="424BB7EB">
            <w:pPr>
              <w:jc w:val="center"/>
            </w:pPr>
            <w:r>
              <w:t>6.60</w:t>
            </w:r>
          </w:p>
        </w:tc>
        <w:tc>
          <w:tcPr>
            <w:vAlign w:val="center"/>
          </w:tcPr>
          <w:p w14:paraId="5F9CC779">
            <w:pPr>
              <w:jc w:val="center"/>
            </w:pPr>
            <w:r>
              <w:t>0.00</w:t>
            </w:r>
          </w:p>
        </w:tc>
      </w:tr>
      <w:tr w14:paraId="3F22BD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4BFEEFA8">
            <w:pPr>
              <w:jc w:val="center"/>
            </w:pPr>
            <w:r>
              <w:t>63#</w:t>
            </w:r>
          </w:p>
        </w:tc>
        <w:tc>
          <w:tcPr>
            <w:vAlign w:val="center"/>
          </w:tcPr>
          <w:p w14:paraId="3FBEFCDF">
            <w:pPr>
              <w:jc w:val="center"/>
            </w:pPr>
            <w:r>
              <w:t>6.60</w:t>
            </w:r>
          </w:p>
        </w:tc>
        <w:tc>
          <w:tcPr>
            <w:vAlign w:val="center"/>
          </w:tcPr>
          <w:p w14:paraId="620D2BA7">
            <w:pPr>
              <w:jc w:val="center"/>
            </w:pPr>
            <w:r>
              <w:t>0.00</w:t>
            </w:r>
          </w:p>
        </w:tc>
      </w:tr>
      <w:tr w14:paraId="275446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034C8AAC">
            <w:pPr>
              <w:jc w:val="center"/>
            </w:pPr>
            <w:r>
              <w:t>64#</w:t>
            </w:r>
          </w:p>
        </w:tc>
        <w:tc>
          <w:tcPr>
            <w:vAlign w:val="center"/>
          </w:tcPr>
          <w:p w14:paraId="7E56D4F3">
            <w:pPr>
              <w:jc w:val="center"/>
            </w:pPr>
            <w:r>
              <w:t>6.60</w:t>
            </w:r>
          </w:p>
        </w:tc>
        <w:tc>
          <w:tcPr>
            <w:vAlign w:val="center"/>
          </w:tcPr>
          <w:p w14:paraId="261619F8">
            <w:pPr>
              <w:jc w:val="center"/>
            </w:pPr>
            <w:r>
              <w:t>0.00</w:t>
            </w:r>
          </w:p>
        </w:tc>
      </w:tr>
      <w:tr w14:paraId="12C0D1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26BE3699">
            <w:pPr>
              <w:jc w:val="center"/>
            </w:pPr>
            <w:r>
              <w:t>65#</w:t>
            </w:r>
          </w:p>
        </w:tc>
        <w:tc>
          <w:tcPr>
            <w:vAlign w:val="center"/>
          </w:tcPr>
          <w:p w14:paraId="6B4E560F">
            <w:pPr>
              <w:jc w:val="center"/>
            </w:pPr>
            <w:r>
              <w:t>6.60</w:t>
            </w:r>
          </w:p>
        </w:tc>
        <w:tc>
          <w:tcPr>
            <w:vAlign w:val="center"/>
          </w:tcPr>
          <w:p w14:paraId="4273A132">
            <w:pPr>
              <w:jc w:val="center"/>
            </w:pPr>
            <w:r>
              <w:t>0.00</w:t>
            </w:r>
          </w:p>
        </w:tc>
      </w:tr>
      <w:tr w14:paraId="417712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73DEA865">
            <w:pPr>
              <w:jc w:val="center"/>
            </w:pPr>
            <w:r>
              <w:t>66#</w:t>
            </w:r>
          </w:p>
        </w:tc>
        <w:tc>
          <w:tcPr>
            <w:vAlign w:val="center"/>
          </w:tcPr>
          <w:p w14:paraId="1C013F84">
            <w:pPr>
              <w:jc w:val="center"/>
            </w:pPr>
            <w:r>
              <w:t>6.60</w:t>
            </w:r>
          </w:p>
        </w:tc>
        <w:tc>
          <w:tcPr>
            <w:vAlign w:val="center"/>
          </w:tcPr>
          <w:p w14:paraId="63B443C0">
            <w:pPr>
              <w:jc w:val="center"/>
            </w:pPr>
            <w:r>
              <w:t>0.00</w:t>
            </w:r>
          </w:p>
        </w:tc>
      </w:tr>
      <w:tr w14:paraId="2C4E79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4C4233A3">
            <w:pPr>
              <w:jc w:val="center"/>
            </w:pPr>
            <w:r>
              <w:t>67#</w:t>
            </w:r>
          </w:p>
        </w:tc>
        <w:tc>
          <w:tcPr>
            <w:vAlign w:val="center"/>
          </w:tcPr>
          <w:p w14:paraId="3E1F2F67">
            <w:pPr>
              <w:jc w:val="center"/>
            </w:pPr>
            <w:r>
              <w:t>6.90</w:t>
            </w:r>
          </w:p>
        </w:tc>
        <w:tc>
          <w:tcPr>
            <w:vAlign w:val="center"/>
          </w:tcPr>
          <w:p w14:paraId="2BF8A4B1">
            <w:pPr>
              <w:jc w:val="center"/>
            </w:pPr>
            <w:r>
              <w:t>0.00</w:t>
            </w:r>
          </w:p>
        </w:tc>
      </w:tr>
      <w:tr w14:paraId="4A31F6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4AEB86F1">
            <w:pPr>
              <w:jc w:val="center"/>
            </w:pPr>
            <w:r>
              <w:t>68#</w:t>
            </w:r>
          </w:p>
        </w:tc>
        <w:tc>
          <w:tcPr>
            <w:vAlign w:val="center"/>
          </w:tcPr>
          <w:p w14:paraId="15D86C5F">
            <w:pPr>
              <w:jc w:val="center"/>
            </w:pPr>
            <w:r>
              <w:t>6.60</w:t>
            </w:r>
          </w:p>
        </w:tc>
        <w:tc>
          <w:tcPr>
            <w:vAlign w:val="center"/>
          </w:tcPr>
          <w:p w14:paraId="20C84352">
            <w:pPr>
              <w:jc w:val="center"/>
            </w:pPr>
            <w:r>
              <w:t>0.00</w:t>
            </w:r>
          </w:p>
        </w:tc>
      </w:tr>
      <w:tr w14:paraId="1E581A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30DE632F">
            <w:pPr>
              <w:jc w:val="center"/>
            </w:pPr>
            <w:r>
              <w:t>69#</w:t>
            </w:r>
          </w:p>
        </w:tc>
        <w:tc>
          <w:tcPr>
            <w:vAlign w:val="center"/>
          </w:tcPr>
          <w:p w14:paraId="323454FA">
            <w:pPr>
              <w:jc w:val="center"/>
            </w:pPr>
            <w:r>
              <w:t>6.60</w:t>
            </w:r>
          </w:p>
        </w:tc>
        <w:tc>
          <w:tcPr>
            <w:vAlign w:val="center"/>
          </w:tcPr>
          <w:p w14:paraId="4C2E3F81">
            <w:pPr>
              <w:jc w:val="center"/>
            </w:pPr>
            <w:r>
              <w:t>0.00</w:t>
            </w:r>
          </w:p>
        </w:tc>
      </w:tr>
      <w:tr w14:paraId="1E24D6F8">
        <w:tblPrEx>
          <w:tblCellMar>
            <w:top w:w="0" w:type="dxa"/>
            <w:left w:w="108" w:type="dxa"/>
            <w:bottom w:w="0" w:type="dxa"/>
            <w:right w:w="108" w:type="dxa"/>
          </w:tblCellMar>
        </w:tblPrEx>
        <w:tc>
          <w:tcPr>
            <w:vAlign w:val="center"/>
          </w:tcPr>
          <w:p w14:paraId="06BBF3E0">
            <w:pPr>
              <w:jc w:val="center"/>
            </w:pPr>
            <w:r>
              <w:t>70#</w:t>
            </w:r>
          </w:p>
        </w:tc>
        <w:tc>
          <w:tcPr>
            <w:vAlign w:val="center"/>
          </w:tcPr>
          <w:p w14:paraId="6AAD7AA1">
            <w:pPr>
              <w:jc w:val="center"/>
            </w:pPr>
            <w:r>
              <w:t>3.30</w:t>
            </w:r>
          </w:p>
        </w:tc>
        <w:tc>
          <w:tcPr>
            <w:vAlign w:val="center"/>
          </w:tcPr>
          <w:p w14:paraId="49E4B0D7">
            <w:pPr>
              <w:jc w:val="center"/>
            </w:pPr>
            <w:r>
              <w:t>0.00</w:t>
            </w:r>
          </w:p>
        </w:tc>
      </w:tr>
      <w:tr w14:paraId="213EE43F">
        <w:tblPrEx>
          <w:tblCellMar>
            <w:top w:w="0" w:type="dxa"/>
            <w:left w:w="108" w:type="dxa"/>
            <w:bottom w:w="0" w:type="dxa"/>
            <w:right w:w="108" w:type="dxa"/>
          </w:tblCellMar>
        </w:tblPrEx>
        <w:tc>
          <w:tcPr>
            <w:vAlign w:val="center"/>
          </w:tcPr>
          <w:p w14:paraId="315268FE">
            <w:pPr>
              <w:jc w:val="center"/>
            </w:pPr>
            <w:r>
              <w:t>71#</w:t>
            </w:r>
          </w:p>
        </w:tc>
        <w:tc>
          <w:tcPr>
            <w:vAlign w:val="center"/>
          </w:tcPr>
          <w:p w14:paraId="502F7B8A">
            <w:pPr>
              <w:jc w:val="center"/>
            </w:pPr>
            <w:r>
              <w:t>6.60</w:t>
            </w:r>
          </w:p>
        </w:tc>
        <w:tc>
          <w:tcPr>
            <w:vAlign w:val="center"/>
          </w:tcPr>
          <w:p w14:paraId="38BC86AE">
            <w:pPr>
              <w:jc w:val="center"/>
            </w:pPr>
            <w:r>
              <w:t>0.00</w:t>
            </w:r>
          </w:p>
        </w:tc>
      </w:tr>
      <w:tr w14:paraId="53AC17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58EE474E">
            <w:pPr>
              <w:jc w:val="center"/>
            </w:pPr>
            <w:r>
              <w:t>72#</w:t>
            </w:r>
          </w:p>
        </w:tc>
        <w:tc>
          <w:tcPr>
            <w:vAlign w:val="center"/>
          </w:tcPr>
          <w:p w14:paraId="4B55F3C8">
            <w:pPr>
              <w:jc w:val="center"/>
            </w:pPr>
            <w:r>
              <w:t>6.60</w:t>
            </w:r>
          </w:p>
        </w:tc>
        <w:tc>
          <w:tcPr>
            <w:vAlign w:val="center"/>
          </w:tcPr>
          <w:p w14:paraId="782894D6">
            <w:pPr>
              <w:jc w:val="center"/>
            </w:pPr>
            <w:r>
              <w:t>0.00</w:t>
            </w:r>
          </w:p>
        </w:tc>
      </w:tr>
      <w:tr w14:paraId="48C0FD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100EA7C3">
            <w:pPr>
              <w:jc w:val="center"/>
            </w:pPr>
            <w:r>
              <w:t>73#</w:t>
            </w:r>
          </w:p>
        </w:tc>
        <w:tc>
          <w:tcPr>
            <w:vAlign w:val="center"/>
          </w:tcPr>
          <w:p w14:paraId="1E09A60E">
            <w:pPr>
              <w:jc w:val="center"/>
            </w:pPr>
            <w:r>
              <w:t>6.60</w:t>
            </w:r>
          </w:p>
        </w:tc>
        <w:tc>
          <w:tcPr>
            <w:vAlign w:val="center"/>
          </w:tcPr>
          <w:p w14:paraId="22CFD49C">
            <w:pPr>
              <w:jc w:val="center"/>
            </w:pPr>
            <w:r>
              <w:t>0.00</w:t>
            </w:r>
          </w:p>
        </w:tc>
      </w:tr>
      <w:tr w14:paraId="137DDC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210DBFAF">
            <w:pPr>
              <w:jc w:val="center"/>
            </w:pPr>
            <w:r>
              <w:t>74#</w:t>
            </w:r>
          </w:p>
        </w:tc>
        <w:tc>
          <w:tcPr>
            <w:vAlign w:val="center"/>
          </w:tcPr>
          <w:p w14:paraId="289A64F6">
            <w:pPr>
              <w:jc w:val="center"/>
            </w:pPr>
            <w:r>
              <w:t>6.60</w:t>
            </w:r>
          </w:p>
        </w:tc>
        <w:tc>
          <w:tcPr>
            <w:vAlign w:val="center"/>
          </w:tcPr>
          <w:p w14:paraId="580ED024">
            <w:pPr>
              <w:jc w:val="center"/>
            </w:pPr>
            <w:r>
              <w:t>0.00</w:t>
            </w:r>
          </w:p>
        </w:tc>
      </w:tr>
      <w:tr w14:paraId="3A2299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0834AB2A">
            <w:pPr>
              <w:jc w:val="center"/>
            </w:pPr>
            <w:r>
              <w:t>75#</w:t>
            </w:r>
          </w:p>
        </w:tc>
        <w:tc>
          <w:tcPr>
            <w:vAlign w:val="center"/>
          </w:tcPr>
          <w:p w14:paraId="5F50D7D0">
            <w:pPr>
              <w:jc w:val="center"/>
            </w:pPr>
            <w:r>
              <w:t>6.60</w:t>
            </w:r>
          </w:p>
        </w:tc>
        <w:tc>
          <w:tcPr>
            <w:vAlign w:val="center"/>
          </w:tcPr>
          <w:p w14:paraId="04B4CCA2">
            <w:pPr>
              <w:jc w:val="center"/>
            </w:pPr>
            <w:r>
              <w:t>0.00</w:t>
            </w:r>
          </w:p>
        </w:tc>
      </w:tr>
      <w:tr w14:paraId="230357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0ACEF8FC">
            <w:pPr>
              <w:jc w:val="center"/>
            </w:pPr>
            <w:r>
              <w:t>76#</w:t>
            </w:r>
          </w:p>
        </w:tc>
        <w:tc>
          <w:tcPr>
            <w:vAlign w:val="center"/>
          </w:tcPr>
          <w:p w14:paraId="64FA5F6C">
            <w:pPr>
              <w:jc w:val="center"/>
            </w:pPr>
            <w:r>
              <w:t>6.60</w:t>
            </w:r>
          </w:p>
        </w:tc>
        <w:tc>
          <w:tcPr>
            <w:vAlign w:val="center"/>
          </w:tcPr>
          <w:p w14:paraId="0FE41EAA">
            <w:pPr>
              <w:jc w:val="center"/>
            </w:pPr>
            <w:r>
              <w:t>0.00</w:t>
            </w:r>
          </w:p>
        </w:tc>
      </w:tr>
      <w:tr w14:paraId="477098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6FBB509E">
            <w:pPr>
              <w:jc w:val="center"/>
            </w:pPr>
            <w:r>
              <w:t>77#</w:t>
            </w:r>
          </w:p>
        </w:tc>
        <w:tc>
          <w:tcPr>
            <w:vAlign w:val="center"/>
          </w:tcPr>
          <w:p w14:paraId="5F13BD38">
            <w:pPr>
              <w:jc w:val="center"/>
            </w:pPr>
            <w:r>
              <w:t>6.60</w:t>
            </w:r>
          </w:p>
        </w:tc>
        <w:tc>
          <w:tcPr>
            <w:vAlign w:val="center"/>
          </w:tcPr>
          <w:p w14:paraId="3A65CB8E">
            <w:pPr>
              <w:jc w:val="center"/>
            </w:pPr>
            <w:r>
              <w:t>0.00</w:t>
            </w:r>
          </w:p>
        </w:tc>
      </w:tr>
      <w:tr w14:paraId="02F73A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5A9E5D65">
            <w:pPr>
              <w:jc w:val="center"/>
            </w:pPr>
            <w:r>
              <w:t>求是楼</w:t>
            </w:r>
          </w:p>
        </w:tc>
        <w:tc>
          <w:tcPr>
            <w:vAlign w:val="center"/>
          </w:tcPr>
          <w:p w14:paraId="4CFE2AA5">
            <w:pPr>
              <w:jc w:val="center"/>
            </w:pPr>
            <w:r>
              <w:t>6.90</w:t>
            </w:r>
          </w:p>
        </w:tc>
        <w:tc>
          <w:tcPr>
            <w:vAlign w:val="center"/>
          </w:tcPr>
          <w:p w14:paraId="0A01932A">
            <w:pPr>
              <w:jc w:val="center"/>
            </w:pPr>
            <w:r>
              <w:t>0.00</w:t>
            </w:r>
          </w:p>
        </w:tc>
      </w:tr>
      <w:tr w14:paraId="438C2F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Align w:val="center"/>
          </w:tcPr>
          <w:p w14:paraId="17F81144">
            <w:pPr>
              <w:jc w:val="center"/>
            </w:pPr>
            <w:r>
              <w:t>观景台</w:t>
            </w:r>
          </w:p>
        </w:tc>
        <w:tc>
          <w:tcPr>
            <w:vAlign w:val="center"/>
          </w:tcPr>
          <w:p w14:paraId="7C22FBC6">
            <w:pPr>
              <w:jc w:val="center"/>
            </w:pPr>
            <w:r>
              <w:t>2.80</w:t>
            </w:r>
          </w:p>
        </w:tc>
        <w:tc>
          <w:tcPr>
            <w:vAlign w:val="center"/>
          </w:tcPr>
          <w:p w14:paraId="50780477">
            <w:pPr>
              <w:jc w:val="center"/>
            </w:pPr>
            <w:r>
              <w:t>0.00</w:t>
            </w:r>
          </w:p>
        </w:tc>
      </w:tr>
    </w:tbl>
    <w:p w14:paraId="2A769954">
      <w:pPr>
        <w:widowControl/>
        <w:jc w:val="center"/>
        <w:rPr>
          <w:rFonts w:ascii="宋体" w:hAnsi="宋体"/>
        </w:rPr>
      </w:pPr>
      <w:bookmarkStart w:id="16" w:name="参评建筑信息表"/>
      <w:bookmarkEnd w:id="16"/>
    </w:p>
    <w:p w14:paraId="22E4EB95">
      <w:pPr>
        <w:pStyle w:val="2"/>
        <w:rPr>
          <w:sz w:val="28"/>
          <w:szCs w:val="28"/>
        </w:rPr>
      </w:pPr>
      <w:bookmarkStart w:id="17" w:name="_Toc479326718"/>
      <w:bookmarkStart w:id="18" w:name="_Toc26202"/>
      <w:r>
        <w:rPr>
          <w:rFonts w:hint="eastAsia"/>
          <w:sz w:val="28"/>
          <w:szCs w:val="28"/>
        </w:rPr>
        <w:t>2.评价</w:t>
      </w:r>
      <w:r>
        <w:rPr>
          <w:sz w:val="28"/>
          <w:szCs w:val="28"/>
        </w:rPr>
        <w:t>标准</w:t>
      </w:r>
      <w:bookmarkEnd w:id="17"/>
      <w:bookmarkEnd w:id="18"/>
    </w:p>
    <w:p w14:paraId="432E7238">
      <w:pPr>
        <w:pStyle w:val="3"/>
        <w:rPr>
          <w:sz w:val="24"/>
          <w:szCs w:val="24"/>
        </w:rPr>
      </w:pPr>
      <w:bookmarkStart w:id="19" w:name="_Toc10054"/>
      <w:bookmarkStart w:id="20" w:name="_Toc479326719"/>
      <w:r>
        <w:rPr>
          <w:rFonts w:hint="eastAsia"/>
          <w:sz w:val="24"/>
          <w:szCs w:val="24"/>
        </w:rPr>
        <w:t>2.1评价</w:t>
      </w:r>
      <w:r>
        <w:rPr>
          <w:sz w:val="24"/>
          <w:szCs w:val="24"/>
        </w:rPr>
        <w:t>依据</w:t>
      </w:r>
      <w:bookmarkEnd w:id="19"/>
      <w:bookmarkEnd w:id="20"/>
    </w:p>
    <w:p w14:paraId="50BD15EF">
      <w:pPr>
        <w:pStyle w:val="33"/>
        <w:numPr>
          <w:ilvl w:val="0"/>
          <w:numId w:val="1"/>
        </w:numPr>
        <w:spacing w:line="276" w:lineRule="auto"/>
        <w:ind w:firstLineChars="0"/>
        <w:rPr>
          <w:rFonts w:ascii="微软雅黑" w:hAnsi="微软雅黑"/>
          <w:sz w:val="21"/>
          <w:szCs w:val="21"/>
        </w:rPr>
      </w:pPr>
      <w:r>
        <w:rPr>
          <w:rFonts w:hint="eastAsia" w:ascii="微软雅黑" w:hAnsi="微软雅黑"/>
          <w:sz w:val="21"/>
          <w:szCs w:val="21"/>
        </w:rPr>
        <w:t>《绿色建筑评价标准》</w:t>
      </w:r>
      <w:r>
        <w:rPr>
          <w:rFonts w:ascii="微软雅黑" w:hAnsi="微软雅黑"/>
          <w:sz w:val="21"/>
          <w:szCs w:val="21"/>
        </w:rPr>
        <w:t>GB</w:t>
      </w:r>
      <w:r>
        <w:rPr>
          <w:rFonts w:hint="eastAsia" w:ascii="微软雅黑" w:hAnsi="微软雅黑"/>
          <w:sz w:val="21"/>
          <w:szCs w:val="21"/>
        </w:rPr>
        <w:t xml:space="preserve">/T </w:t>
      </w:r>
      <w:r>
        <w:rPr>
          <w:rFonts w:ascii="微软雅黑" w:hAnsi="微软雅黑"/>
          <w:sz w:val="21"/>
          <w:szCs w:val="21"/>
        </w:rPr>
        <w:t>50378-</w:t>
      </w:r>
      <w:r>
        <w:rPr>
          <w:rFonts w:hint="eastAsia" w:ascii="微软雅黑" w:hAnsi="微软雅黑"/>
          <w:sz w:val="21"/>
          <w:szCs w:val="21"/>
        </w:rPr>
        <w:t>2019（2024年版）</w:t>
      </w:r>
      <w:r>
        <w:rPr>
          <w:rFonts w:ascii="微软雅黑" w:hAnsi="微软雅黑"/>
          <w:sz w:val="21"/>
          <w:szCs w:val="21"/>
        </w:rPr>
        <w:t xml:space="preserve"> </w:t>
      </w:r>
    </w:p>
    <w:p w14:paraId="00FF4FDD">
      <w:pPr>
        <w:pStyle w:val="33"/>
        <w:numPr>
          <w:ilvl w:val="0"/>
          <w:numId w:val="1"/>
        </w:numPr>
        <w:spacing w:line="276" w:lineRule="auto"/>
        <w:ind w:firstLineChars="0"/>
        <w:rPr>
          <w:rFonts w:ascii="微软雅黑" w:hAnsi="微软雅黑"/>
          <w:sz w:val="21"/>
          <w:szCs w:val="21"/>
        </w:rPr>
      </w:pPr>
      <w:r>
        <w:rPr>
          <w:rFonts w:hint="eastAsia" w:ascii="微软雅黑" w:hAnsi="微软雅黑"/>
          <w:sz w:val="21"/>
          <w:szCs w:val="21"/>
        </w:rPr>
        <w:t>《绿色建筑评价</w:t>
      </w:r>
      <w:r>
        <w:rPr>
          <w:rFonts w:ascii="微软雅黑" w:hAnsi="微软雅黑"/>
          <w:sz w:val="21"/>
          <w:szCs w:val="21"/>
        </w:rPr>
        <w:t>技术细则</w:t>
      </w:r>
      <w:r>
        <w:rPr>
          <w:rFonts w:hint="eastAsia" w:ascii="微软雅黑" w:hAnsi="微软雅黑"/>
          <w:sz w:val="21"/>
          <w:szCs w:val="21"/>
        </w:rPr>
        <w:t>》2019</w:t>
      </w:r>
    </w:p>
    <w:p w14:paraId="5DA78330">
      <w:pPr>
        <w:pStyle w:val="33"/>
        <w:numPr>
          <w:ilvl w:val="0"/>
          <w:numId w:val="1"/>
        </w:numPr>
        <w:spacing w:line="276" w:lineRule="auto"/>
        <w:ind w:firstLineChars="0"/>
        <w:rPr>
          <w:rFonts w:ascii="微软雅黑" w:hAnsi="微软雅黑"/>
          <w:sz w:val="21"/>
          <w:szCs w:val="21"/>
        </w:rPr>
      </w:pPr>
      <w:r>
        <w:rPr>
          <w:rFonts w:hint="eastAsia" w:ascii="微软雅黑" w:hAnsi="微软雅黑"/>
          <w:sz w:val="21"/>
          <w:szCs w:val="21"/>
        </w:rPr>
        <w:t>《声环境质量标准》</w:t>
      </w:r>
      <w:r>
        <w:rPr>
          <w:rFonts w:ascii="微软雅黑" w:hAnsi="微软雅黑"/>
          <w:sz w:val="21"/>
          <w:szCs w:val="21"/>
        </w:rPr>
        <w:t xml:space="preserve">GB 3096-2008 </w:t>
      </w:r>
    </w:p>
    <w:p w14:paraId="7E60A13A">
      <w:pPr>
        <w:pStyle w:val="33"/>
        <w:numPr>
          <w:ilvl w:val="0"/>
          <w:numId w:val="1"/>
        </w:numPr>
        <w:spacing w:line="276" w:lineRule="auto"/>
        <w:ind w:firstLineChars="0"/>
        <w:rPr>
          <w:rFonts w:ascii="微软雅黑" w:hAnsi="微软雅黑"/>
          <w:sz w:val="21"/>
          <w:szCs w:val="21"/>
        </w:rPr>
      </w:pPr>
      <w:r>
        <w:rPr>
          <w:rFonts w:hint="eastAsia" w:ascii="微软雅黑" w:hAnsi="微软雅黑"/>
          <w:sz w:val="21"/>
          <w:szCs w:val="21"/>
        </w:rPr>
        <w:t>《环境</w:t>
      </w:r>
      <w:r>
        <w:rPr>
          <w:rFonts w:ascii="微软雅黑" w:hAnsi="微软雅黑"/>
          <w:sz w:val="21"/>
          <w:szCs w:val="21"/>
        </w:rPr>
        <w:t>影响评价技术</w:t>
      </w:r>
      <w:r>
        <w:rPr>
          <w:rFonts w:hint="eastAsia" w:ascii="微软雅黑" w:hAnsi="微软雅黑"/>
          <w:sz w:val="21"/>
          <w:szCs w:val="21"/>
        </w:rPr>
        <w:t>导则 声环境》HJ</w:t>
      </w:r>
      <w:r>
        <w:rPr>
          <w:rFonts w:ascii="微软雅黑" w:hAnsi="微软雅黑"/>
          <w:sz w:val="21"/>
          <w:szCs w:val="21"/>
        </w:rPr>
        <w:t>2.4-20</w:t>
      </w:r>
      <w:r>
        <w:rPr>
          <w:rFonts w:hint="eastAsia" w:ascii="微软雅黑" w:hAnsi="微软雅黑"/>
          <w:sz w:val="21"/>
          <w:szCs w:val="21"/>
        </w:rPr>
        <w:t>21</w:t>
      </w:r>
    </w:p>
    <w:p w14:paraId="5C161CBD">
      <w:pPr>
        <w:pStyle w:val="33"/>
        <w:numPr>
          <w:ilvl w:val="0"/>
          <w:numId w:val="1"/>
        </w:numPr>
        <w:spacing w:line="276" w:lineRule="auto"/>
        <w:ind w:firstLineChars="0"/>
        <w:rPr>
          <w:rFonts w:ascii="微软雅黑" w:hAnsi="微软雅黑"/>
          <w:sz w:val="21"/>
          <w:szCs w:val="21"/>
        </w:rPr>
      </w:pPr>
      <w:r>
        <w:rPr>
          <w:rFonts w:hint="eastAsia" w:ascii="微软雅黑" w:hAnsi="微软雅黑"/>
          <w:sz w:val="21"/>
          <w:szCs w:val="21"/>
        </w:rPr>
        <w:t>《声环境功能区划分技术规范》</w:t>
      </w:r>
      <w:r>
        <w:rPr>
          <w:rFonts w:ascii="微软雅黑" w:hAnsi="微软雅黑"/>
          <w:sz w:val="21"/>
          <w:szCs w:val="21"/>
        </w:rPr>
        <w:t>GB/T 15190-2014</w:t>
      </w:r>
    </w:p>
    <w:p w14:paraId="57596370">
      <w:pPr>
        <w:pStyle w:val="33"/>
        <w:numPr>
          <w:ilvl w:val="0"/>
          <w:numId w:val="1"/>
        </w:numPr>
        <w:spacing w:line="276" w:lineRule="auto"/>
        <w:ind w:firstLineChars="0"/>
        <w:rPr>
          <w:rFonts w:ascii="微软雅黑" w:hAnsi="微软雅黑"/>
          <w:sz w:val="21"/>
          <w:szCs w:val="21"/>
        </w:rPr>
      </w:pPr>
      <w:r>
        <w:rPr>
          <w:rFonts w:hint="eastAsia" w:ascii="微软雅黑" w:hAnsi="微软雅黑"/>
          <w:sz w:val="21"/>
          <w:szCs w:val="21"/>
        </w:rPr>
        <w:t>《</w:t>
      </w:r>
      <w:r>
        <w:rPr>
          <w:rFonts w:ascii="微软雅黑" w:hAnsi="微软雅黑"/>
          <w:sz w:val="21"/>
          <w:szCs w:val="21"/>
        </w:rPr>
        <w:t>民用建筑绿色性能计算标准</w:t>
      </w:r>
      <w:r>
        <w:rPr>
          <w:rFonts w:hint="eastAsia" w:ascii="微软雅黑" w:hAnsi="微软雅黑"/>
          <w:sz w:val="21"/>
          <w:szCs w:val="21"/>
        </w:rPr>
        <w:t>》</w:t>
      </w:r>
      <w:r>
        <w:rPr>
          <w:rFonts w:ascii="微软雅黑" w:hAnsi="微软雅黑"/>
          <w:sz w:val="21"/>
          <w:szCs w:val="21"/>
        </w:rPr>
        <w:t xml:space="preserve">JGJ/T 449-2018 </w:t>
      </w:r>
    </w:p>
    <w:p w14:paraId="05EE3692">
      <w:pPr>
        <w:pStyle w:val="3"/>
        <w:rPr>
          <w:sz w:val="24"/>
          <w:szCs w:val="24"/>
        </w:rPr>
      </w:pPr>
      <w:bookmarkStart w:id="21" w:name="_Toc28440"/>
      <w:r>
        <w:rPr>
          <w:rFonts w:hint="eastAsia"/>
          <w:sz w:val="24"/>
          <w:szCs w:val="24"/>
        </w:rPr>
        <w:t>2.2标准</w:t>
      </w:r>
      <w:r>
        <w:rPr>
          <w:sz w:val="24"/>
          <w:szCs w:val="24"/>
        </w:rPr>
        <w:t>要求</w:t>
      </w:r>
      <w:bookmarkEnd w:id="21"/>
    </w:p>
    <w:p w14:paraId="1EB0440D">
      <w:pPr>
        <w:pStyle w:val="25"/>
        <w:numPr>
          <w:ilvl w:val="0"/>
          <w:numId w:val="2"/>
        </w:numPr>
        <w:ind w:firstLineChars="0"/>
      </w:pPr>
      <w:bookmarkStart w:id="22" w:name="标准名称2"/>
      <w:r>
        <w:rPr>
          <w:rFonts w:hint="eastAsia"/>
        </w:rPr>
        <w:t>《绿色建筑评价标准》GB/T 50378-2019（2024年版）</w:t>
      </w:r>
      <w:bookmarkEnd w:id="22"/>
      <w:r>
        <w:rPr>
          <w:rFonts w:hint="eastAsia"/>
        </w:rPr>
        <w:t>中规定：</w:t>
      </w:r>
    </w:p>
    <w:p w14:paraId="7080CE34">
      <w:pPr>
        <w:ind w:left="420" w:leftChars="200"/>
      </w:pPr>
      <w:bookmarkStart w:id="23" w:name="_Hlk173145414"/>
      <w:r>
        <w:rPr>
          <w:rFonts w:hint="eastAsia"/>
        </w:rPr>
        <w:t>5.1.4 场地规划布局和建筑平面设计时应合理规划噪声源区域和噪声敏感区域，并进行识别和标注;</w:t>
      </w:r>
      <w:bookmarkEnd w:id="23"/>
    </w:p>
    <w:p w14:paraId="6B2F655C">
      <w:pPr>
        <w:ind w:left="420" w:leftChars="200"/>
      </w:pPr>
      <w:r>
        <w:rPr>
          <w:rFonts w:hint="eastAsia"/>
        </w:rPr>
        <w:t>8.2.6场地内的环境噪声优于现行国家标准《声环境质量标准》GB</w:t>
      </w:r>
      <w:r>
        <w:t xml:space="preserve"> </w:t>
      </w:r>
      <w:r>
        <w:rPr>
          <w:rFonts w:hint="eastAsia"/>
        </w:rPr>
        <w:t>3096的要求，评价总分值为10分，并按下列规则评分：</w:t>
      </w:r>
    </w:p>
    <w:p w14:paraId="145074EF">
      <w:pPr>
        <w:ind w:left="420" w:leftChars="200"/>
      </w:pPr>
      <w:r>
        <w:rPr>
          <w:rFonts w:hint="eastAsia"/>
        </w:rPr>
        <w:t>1.</w:t>
      </w:r>
      <w:r>
        <w:t xml:space="preserve"> </w:t>
      </w:r>
      <w:r>
        <w:rPr>
          <w:rFonts w:hint="eastAsia"/>
        </w:rPr>
        <w:t>环境噪声值大于2类声环境功能区噪声等效声级限值，且小于等于3类声环境功能区噪声等效声级限值，得5分。</w:t>
      </w:r>
    </w:p>
    <w:p w14:paraId="6DA2A7B3">
      <w:pPr>
        <w:ind w:left="420" w:leftChars="200"/>
      </w:pPr>
      <w:r>
        <w:rPr>
          <w:rFonts w:hint="eastAsia"/>
        </w:rPr>
        <w:t>2.</w:t>
      </w:r>
      <w:r>
        <w:t xml:space="preserve"> </w:t>
      </w:r>
      <w:r>
        <w:rPr>
          <w:rFonts w:hint="eastAsia"/>
        </w:rPr>
        <w:t>环境噪声值小于等于2类声环境功能区噪声等效声级限值，得10分。</w:t>
      </w:r>
    </w:p>
    <w:p w14:paraId="140864AF">
      <w:pPr>
        <w:pStyle w:val="25"/>
        <w:numPr>
          <w:ilvl w:val="0"/>
          <w:numId w:val="3"/>
        </w:numPr>
        <w:ind w:firstLineChars="0"/>
      </w:pPr>
      <w:r>
        <w:rPr>
          <w:rFonts w:hint="eastAsia"/>
        </w:rPr>
        <w:t>《声环境质量标准》</w:t>
      </w:r>
      <w:r>
        <w:t>GB</w:t>
      </w:r>
      <w:r>
        <w:rPr>
          <w:rFonts w:hint="eastAsia"/>
        </w:rPr>
        <w:t xml:space="preserve"> </w:t>
      </w:r>
      <w:r>
        <w:t>3096</w:t>
      </w:r>
      <w:r>
        <w:rPr>
          <w:rFonts w:hint="eastAsia"/>
        </w:rPr>
        <w:t>中规定了五类声环境功能区的环境噪声限值，如下表所示。</w:t>
      </w:r>
    </w:p>
    <w:p w14:paraId="237CC964">
      <w:pPr>
        <w:widowControl/>
        <w:ind w:right="180"/>
        <w:jc w:val="right"/>
        <w:rPr>
          <w:kern w:val="0"/>
        </w:rPr>
      </w:pPr>
      <w:r>
        <w:rPr>
          <w:rFonts w:hint="eastAsia"/>
          <w:kern w:val="0"/>
        </w:rPr>
        <w:t>表2</w:t>
      </w:r>
      <w:r>
        <w:rPr>
          <w:kern w:val="0"/>
        </w:rPr>
        <w:t>.2-1</w:t>
      </w:r>
      <w:r>
        <w:rPr>
          <w:rFonts w:hint="eastAsia"/>
          <w:kern w:val="0"/>
        </w:rPr>
        <w:t xml:space="preserve"> 环境</w:t>
      </w:r>
      <w:r>
        <w:rPr>
          <w:kern w:val="0"/>
        </w:rPr>
        <w:t>噪声限值</w:t>
      </w:r>
      <w:r>
        <w:rPr>
          <w:rFonts w:hint="eastAsia"/>
          <w:kern w:val="0"/>
        </w:rPr>
        <w:t xml:space="preserve"> </w:t>
      </w:r>
      <w:r>
        <w:rPr>
          <w:kern w:val="0"/>
        </w:rPr>
        <w:t xml:space="preserve">  </w:t>
      </w:r>
      <w:r>
        <w:rPr>
          <w:rFonts w:hint="eastAsia"/>
          <w:kern w:val="0"/>
        </w:rPr>
        <w:t xml:space="preserve"> </w:t>
      </w:r>
      <w:r>
        <w:rPr>
          <w:kern w:val="0"/>
        </w:rPr>
        <w:t xml:space="preserve">  </w:t>
      </w:r>
      <w:r>
        <w:rPr>
          <w:rFonts w:hint="eastAsia"/>
          <w:kern w:val="0"/>
        </w:rPr>
        <w:t xml:space="preserve">  </w:t>
      </w:r>
      <w:r>
        <w:rPr>
          <w:kern w:val="0"/>
        </w:rPr>
        <w:t xml:space="preserve">  </w:t>
      </w:r>
      <w:r>
        <w:rPr>
          <w:rFonts w:hint="eastAsia"/>
          <w:kern w:val="0"/>
        </w:rPr>
        <w:t xml:space="preserve"> </w:t>
      </w:r>
      <w:r>
        <w:rPr>
          <w:kern w:val="0"/>
        </w:rPr>
        <w:t xml:space="preserve"> </w:t>
      </w:r>
      <w:r>
        <w:rPr>
          <w:rFonts w:hint="eastAsia"/>
          <w:kern w:val="0"/>
        </w:rPr>
        <w:t xml:space="preserve">     单位</w:t>
      </w:r>
      <w:r>
        <w:rPr>
          <w:kern w:val="0"/>
        </w:rPr>
        <w:t>：dB(A</w:t>
      </w:r>
      <w:r>
        <w:rPr>
          <w:rFonts w:hint="eastAsia"/>
          <w:kern w:val="0"/>
        </w:rPr>
        <w:t>)</w:t>
      </w:r>
    </w:p>
    <w:tbl>
      <w:tblPr>
        <w:tblStyle w:val="15"/>
        <w:tblW w:w="5000" w:type="pct"/>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108" w:type="dxa"/>
          <w:bottom w:w="0" w:type="dxa"/>
          <w:right w:w="108" w:type="dxa"/>
        </w:tblCellMar>
      </w:tblPr>
      <w:tblGrid>
        <w:gridCol w:w="678"/>
        <w:gridCol w:w="856"/>
        <w:gridCol w:w="845"/>
        <w:gridCol w:w="845"/>
        <w:gridCol w:w="5298"/>
      </w:tblGrid>
      <w:tr w14:paraId="5BC8305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270" w:hRule="atLeast"/>
          <w:jc w:val="center"/>
        </w:trPr>
        <w:tc>
          <w:tcPr>
            <w:tcW w:w="900" w:type="pct"/>
            <w:gridSpan w:val="2"/>
            <w:vMerge w:val="restart"/>
            <w:shd w:val="clear" w:color="auto" w:fill="D9D9D9"/>
            <w:vAlign w:val="center"/>
          </w:tcPr>
          <w:p w14:paraId="0546D973">
            <w:pPr>
              <w:jc w:val="center"/>
              <w:rPr>
                <w:szCs w:val="24"/>
              </w:rPr>
            </w:pPr>
            <w:r>
              <w:rPr>
                <w:rFonts w:hint="eastAsia"/>
                <w:szCs w:val="24"/>
              </w:rPr>
              <w:t>声环境</w:t>
            </w:r>
          </w:p>
          <w:p w14:paraId="0A10B545">
            <w:pPr>
              <w:jc w:val="center"/>
              <w:rPr>
                <w:szCs w:val="24"/>
              </w:rPr>
            </w:pPr>
            <w:r>
              <w:rPr>
                <w:rFonts w:hint="eastAsia"/>
                <w:szCs w:val="24"/>
              </w:rPr>
              <w:t>功能区类别</w:t>
            </w:r>
          </w:p>
        </w:tc>
        <w:tc>
          <w:tcPr>
            <w:tcW w:w="992" w:type="pct"/>
            <w:gridSpan w:val="2"/>
            <w:shd w:val="clear" w:color="auto" w:fill="D9D9D9"/>
            <w:noWrap/>
            <w:vAlign w:val="center"/>
          </w:tcPr>
          <w:p w14:paraId="3E06DD27">
            <w:pPr>
              <w:jc w:val="center"/>
              <w:rPr>
                <w:szCs w:val="24"/>
              </w:rPr>
            </w:pPr>
            <w:r>
              <w:rPr>
                <w:rFonts w:hint="eastAsia"/>
                <w:szCs w:val="24"/>
              </w:rPr>
              <w:t>时段</w:t>
            </w:r>
          </w:p>
        </w:tc>
        <w:tc>
          <w:tcPr>
            <w:tcW w:w="3108" w:type="pct"/>
            <w:vMerge w:val="restart"/>
            <w:shd w:val="clear" w:color="auto" w:fill="D9D9D9"/>
            <w:noWrap/>
            <w:vAlign w:val="center"/>
          </w:tcPr>
          <w:p w14:paraId="285EE6C7">
            <w:pPr>
              <w:jc w:val="center"/>
              <w:rPr>
                <w:szCs w:val="24"/>
              </w:rPr>
            </w:pPr>
            <w:r>
              <w:rPr>
                <w:rFonts w:hint="eastAsia"/>
                <w:szCs w:val="24"/>
              </w:rPr>
              <w:t>适用范围</w:t>
            </w:r>
          </w:p>
        </w:tc>
      </w:tr>
      <w:tr w14:paraId="793281B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592" w:hRule="atLeast"/>
          <w:jc w:val="center"/>
        </w:trPr>
        <w:tc>
          <w:tcPr>
            <w:tcW w:w="900" w:type="pct"/>
            <w:gridSpan w:val="2"/>
            <w:vMerge w:val="continue"/>
            <w:vAlign w:val="center"/>
          </w:tcPr>
          <w:p w14:paraId="29F26CF7">
            <w:pPr>
              <w:jc w:val="center"/>
              <w:rPr>
                <w:szCs w:val="24"/>
              </w:rPr>
            </w:pPr>
          </w:p>
        </w:tc>
        <w:tc>
          <w:tcPr>
            <w:tcW w:w="496" w:type="pct"/>
            <w:shd w:val="clear" w:color="auto" w:fill="D9D9D9"/>
            <w:noWrap/>
            <w:vAlign w:val="center"/>
          </w:tcPr>
          <w:p w14:paraId="544B1BE4">
            <w:pPr>
              <w:jc w:val="center"/>
              <w:rPr>
                <w:szCs w:val="24"/>
              </w:rPr>
            </w:pPr>
            <w:r>
              <w:rPr>
                <w:rFonts w:hint="eastAsia"/>
                <w:szCs w:val="24"/>
              </w:rPr>
              <w:t>昼间</w:t>
            </w:r>
          </w:p>
        </w:tc>
        <w:tc>
          <w:tcPr>
            <w:tcW w:w="496" w:type="pct"/>
            <w:shd w:val="clear" w:color="auto" w:fill="D9D9D9"/>
            <w:noWrap/>
            <w:vAlign w:val="center"/>
          </w:tcPr>
          <w:p w14:paraId="6079E3B3">
            <w:pPr>
              <w:jc w:val="center"/>
              <w:rPr>
                <w:szCs w:val="24"/>
              </w:rPr>
            </w:pPr>
            <w:r>
              <w:rPr>
                <w:rFonts w:hint="eastAsia"/>
                <w:szCs w:val="24"/>
              </w:rPr>
              <w:t>夜间</w:t>
            </w:r>
          </w:p>
        </w:tc>
        <w:tc>
          <w:tcPr>
            <w:tcW w:w="3108" w:type="pct"/>
            <w:vMerge w:val="continue"/>
            <w:shd w:val="clear" w:color="auto" w:fill="D9D9D9"/>
            <w:vAlign w:val="center"/>
          </w:tcPr>
          <w:p w14:paraId="3F213D1E">
            <w:pPr>
              <w:jc w:val="center"/>
              <w:rPr>
                <w:szCs w:val="24"/>
              </w:rPr>
            </w:pPr>
          </w:p>
        </w:tc>
      </w:tr>
      <w:tr w14:paraId="5A737D7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285" w:hRule="atLeast"/>
          <w:jc w:val="center"/>
        </w:trPr>
        <w:tc>
          <w:tcPr>
            <w:tcW w:w="900" w:type="pct"/>
            <w:gridSpan w:val="2"/>
            <w:shd w:val="clear" w:color="auto" w:fill="auto"/>
            <w:noWrap/>
            <w:vAlign w:val="center"/>
          </w:tcPr>
          <w:p w14:paraId="21A80156">
            <w:pPr>
              <w:jc w:val="center"/>
              <w:rPr>
                <w:szCs w:val="24"/>
              </w:rPr>
            </w:pPr>
            <w:r>
              <w:rPr>
                <w:szCs w:val="24"/>
              </w:rPr>
              <w:t>0类</w:t>
            </w:r>
          </w:p>
        </w:tc>
        <w:tc>
          <w:tcPr>
            <w:tcW w:w="496" w:type="pct"/>
            <w:shd w:val="clear" w:color="auto" w:fill="auto"/>
            <w:noWrap/>
            <w:vAlign w:val="center"/>
          </w:tcPr>
          <w:p w14:paraId="4547F36B">
            <w:pPr>
              <w:jc w:val="center"/>
              <w:rPr>
                <w:szCs w:val="24"/>
              </w:rPr>
            </w:pPr>
            <w:r>
              <w:rPr>
                <w:szCs w:val="24"/>
              </w:rPr>
              <w:t>50</w:t>
            </w:r>
          </w:p>
        </w:tc>
        <w:tc>
          <w:tcPr>
            <w:tcW w:w="496" w:type="pct"/>
            <w:shd w:val="clear" w:color="auto" w:fill="auto"/>
            <w:noWrap/>
            <w:vAlign w:val="center"/>
          </w:tcPr>
          <w:p w14:paraId="74522C08">
            <w:pPr>
              <w:jc w:val="center"/>
              <w:rPr>
                <w:szCs w:val="24"/>
              </w:rPr>
            </w:pPr>
            <w:r>
              <w:rPr>
                <w:szCs w:val="24"/>
              </w:rPr>
              <w:t>40</w:t>
            </w:r>
          </w:p>
        </w:tc>
        <w:tc>
          <w:tcPr>
            <w:tcW w:w="3108" w:type="pct"/>
            <w:shd w:val="clear" w:color="auto" w:fill="auto"/>
            <w:vAlign w:val="center"/>
          </w:tcPr>
          <w:p w14:paraId="0F7018C9">
            <w:pPr>
              <w:rPr>
                <w:szCs w:val="24"/>
              </w:rPr>
            </w:pPr>
            <w:r>
              <w:rPr>
                <w:rFonts w:hint="eastAsia"/>
                <w:szCs w:val="24"/>
              </w:rPr>
              <w:t>指康复疗养区等特别需要安静的区域</w:t>
            </w:r>
          </w:p>
        </w:tc>
      </w:tr>
      <w:tr w14:paraId="1FD8F6D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510" w:hRule="atLeast"/>
          <w:jc w:val="center"/>
        </w:trPr>
        <w:tc>
          <w:tcPr>
            <w:tcW w:w="900" w:type="pct"/>
            <w:gridSpan w:val="2"/>
            <w:shd w:val="clear" w:color="auto" w:fill="auto"/>
            <w:noWrap/>
            <w:vAlign w:val="center"/>
          </w:tcPr>
          <w:p w14:paraId="1BA0D250">
            <w:pPr>
              <w:jc w:val="center"/>
              <w:rPr>
                <w:szCs w:val="24"/>
              </w:rPr>
            </w:pPr>
            <w:r>
              <w:rPr>
                <w:szCs w:val="24"/>
              </w:rPr>
              <w:t>1类</w:t>
            </w:r>
          </w:p>
        </w:tc>
        <w:tc>
          <w:tcPr>
            <w:tcW w:w="496" w:type="pct"/>
            <w:shd w:val="clear" w:color="auto" w:fill="auto"/>
            <w:noWrap/>
            <w:vAlign w:val="center"/>
          </w:tcPr>
          <w:p w14:paraId="03B1149E">
            <w:pPr>
              <w:jc w:val="center"/>
              <w:rPr>
                <w:szCs w:val="24"/>
              </w:rPr>
            </w:pPr>
            <w:r>
              <w:rPr>
                <w:szCs w:val="24"/>
              </w:rPr>
              <w:t>55</w:t>
            </w:r>
          </w:p>
        </w:tc>
        <w:tc>
          <w:tcPr>
            <w:tcW w:w="496" w:type="pct"/>
            <w:shd w:val="clear" w:color="auto" w:fill="auto"/>
            <w:noWrap/>
            <w:vAlign w:val="center"/>
          </w:tcPr>
          <w:p w14:paraId="3B70A4CD">
            <w:pPr>
              <w:jc w:val="center"/>
              <w:rPr>
                <w:szCs w:val="24"/>
              </w:rPr>
            </w:pPr>
            <w:r>
              <w:rPr>
                <w:szCs w:val="24"/>
              </w:rPr>
              <w:t>45</w:t>
            </w:r>
          </w:p>
        </w:tc>
        <w:tc>
          <w:tcPr>
            <w:tcW w:w="3108" w:type="pct"/>
            <w:shd w:val="clear" w:color="auto" w:fill="auto"/>
            <w:vAlign w:val="center"/>
          </w:tcPr>
          <w:p w14:paraId="6B6F172D">
            <w:pPr>
              <w:rPr>
                <w:szCs w:val="24"/>
              </w:rPr>
            </w:pPr>
            <w:r>
              <w:rPr>
                <w:rFonts w:hint="eastAsia"/>
                <w:szCs w:val="24"/>
              </w:rPr>
              <w:t>指以居民住宅、医疗卫生、文化教育、科研设计、行政办公为主要功能，需要保持安静的区域。</w:t>
            </w:r>
          </w:p>
        </w:tc>
      </w:tr>
      <w:tr w14:paraId="020206B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510" w:hRule="atLeast"/>
          <w:jc w:val="center"/>
        </w:trPr>
        <w:tc>
          <w:tcPr>
            <w:tcW w:w="900" w:type="pct"/>
            <w:gridSpan w:val="2"/>
            <w:shd w:val="clear" w:color="auto" w:fill="auto"/>
            <w:noWrap/>
            <w:vAlign w:val="center"/>
          </w:tcPr>
          <w:p w14:paraId="618323C5">
            <w:pPr>
              <w:jc w:val="center"/>
              <w:rPr>
                <w:szCs w:val="24"/>
              </w:rPr>
            </w:pPr>
            <w:r>
              <w:rPr>
                <w:szCs w:val="24"/>
              </w:rPr>
              <w:t>2类</w:t>
            </w:r>
          </w:p>
        </w:tc>
        <w:tc>
          <w:tcPr>
            <w:tcW w:w="496" w:type="pct"/>
            <w:shd w:val="clear" w:color="auto" w:fill="auto"/>
            <w:noWrap/>
            <w:vAlign w:val="center"/>
          </w:tcPr>
          <w:p w14:paraId="7F003233">
            <w:pPr>
              <w:jc w:val="center"/>
              <w:rPr>
                <w:szCs w:val="24"/>
              </w:rPr>
            </w:pPr>
            <w:r>
              <w:rPr>
                <w:szCs w:val="24"/>
              </w:rPr>
              <w:t>60</w:t>
            </w:r>
          </w:p>
        </w:tc>
        <w:tc>
          <w:tcPr>
            <w:tcW w:w="496" w:type="pct"/>
            <w:shd w:val="clear" w:color="auto" w:fill="auto"/>
            <w:noWrap/>
            <w:vAlign w:val="center"/>
          </w:tcPr>
          <w:p w14:paraId="4592D579">
            <w:pPr>
              <w:jc w:val="center"/>
              <w:rPr>
                <w:szCs w:val="24"/>
              </w:rPr>
            </w:pPr>
            <w:r>
              <w:rPr>
                <w:szCs w:val="24"/>
              </w:rPr>
              <w:t>50</w:t>
            </w:r>
          </w:p>
        </w:tc>
        <w:tc>
          <w:tcPr>
            <w:tcW w:w="3108" w:type="pct"/>
            <w:shd w:val="clear" w:color="auto" w:fill="auto"/>
            <w:vAlign w:val="center"/>
          </w:tcPr>
          <w:p w14:paraId="2D14620B">
            <w:pPr>
              <w:rPr>
                <w:szCs w:val="24"/>
              </w:rPr>
            </w:pPr>
            <w:r>
              <w:rPr>
                <w:rFonts w:hint="eastAsia"/>
                <w:szCs w:val="24"/>
              </w:rPr>
              <w:t>指以商业金融、集市贸易为主要功能，或者居住、商业、 工业混杂，需要维护住宅安静的区域。</w:t>
            </w:r>
          </w:p>
        </w:tc>
      </w:tr>
      <w:tr w14:paraId="4A4F5F6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540" w:hRule="atLeast"/>
          <w:jc w:val="center"/>
        </w:trPr>
        <w:tc>
          <w:tcPr>
            <w:tcW w:w="900" w:type="pct"/>
            <w:gridSpan w:val="2"/>
            <w:shd w:val="clear" w:color="auto" w:fill="auto"/>
            <w:noWrap/>
            <w:vAlign w:val="center"/>
          </w:tcPr>
          <w:p w14:paraId="22C8F965">
            <w:pPr>
              <w:jc w:val="center"/>
              <w:rPr>
                <w:szCs w:val="24"/>
              </w:rPr>
            </w:pPr>
            <w:r>
              <w:rPr>
                <w:szCs w:val="24"/>
              </w:rPr>
              <w:t>3类</w:t>
            </w:r>
          </w:p>
        </w:tc>
        <w:tc>
          <w:tcPr>
            <w:tcW w:w="496" w:type="pct"/>
            <w:shd w:val="clear" w:color="auto" w:fill="auto"/>
            <w:noWrap/>
            <w:vAlign w:val="center"/>
          </w:tcPr>
          <w:p w14:paraId="131459C9">
            <w:pPr>
              <w:jc w:val="center"/>
              <w:rPr>
                <w:szCs w:val="24"/>
              </w:rPr>
            </w:pPr>
            <w:r>
              <w:rPr>
                <w:szCs w:val="24"/>
              </w:rPr>
              <w:t>65</w:t>
            </w:r>
          </w:p>
        </w:tc>
        <w:tc>
          <w:tcPr>
            <w:tcW w:w="496" w:type="pct"/>
            <w:shd w:val="clear" w:color="auto" w:fill="auto"/>
            <w:noWrap/>
            <w:vAlign w:val="center"/>
          </w:tcPr>
          <w:p w14:paraId="0EC52015">
            <w:pPr>
              <w:jc w:val="center"/>
              <w:rPr>
                <w:szCs w:val="24"/>
              </w:rPr>
            </w:pPr>
            <w:r>
              <w:rPr>
                <w:szCs w:val="24"/>
              </w:rPr>
              <w:t>55</w:t>
            </w:r>
          </w:p>
        </w:tc>
        <w:tc>
          <w:tcPr>
            <w:tcW w:w="3108" w:type="pct"/>
            <w:shd w:val="clear" w:color="auto" w:fill="auto"/>
            <w:vAlign w:val="center"/>
          </w:tcPr>
          <w:p w14:paraId="3B6C719D">
            <w:pPr>
              <w:rPr>
                <w:szCs w:val="24"/>
              </w:rPr>
            </w:pPr>
            <w:r>
              <w:rPr>
                <w:rFonts w:hint="eastAsia"/>
                <w:szCs w:val="24"/>
              </w:rPr>
              <w:t>指以工业生产、仓储物流为主要功能，需要防止工业噪声对周围环境产生严重影响的区域。</w:t>
            </w:r>
          </w:p>
        </w:tc>
      </w:tr>
      <w:tr w14:paraId="4195E56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810" w:hRule="atLeast"/>
          <w:jc w:val="center"/>
        </w:trPr>
        <w:tc>
          <w:tcPr>
            <w:tcW w:w="398" w:type="pct"/>
            <w:vMerge w:val="restart"/>
            <w:shd w:val="clear" w:color="auto" w:fill="auto"/>
            <w:noWrap/>
            <w:vAlign w:val="center"/>
          </w:tcPr>
          <w:p w14:paraId="620C3501">
            <w:pPr>
              <w:jc w:val="center"/>
              <w:rPr>
                <w:szCs w:val="24"/>
              </w:rPr>
            </w:pPr>
            <w:r>
              <w:rPr>
                <w:szCs w:val="24"/>
              </w:rPr>
              <w:t>4类</w:t>
            </w:r>
          </w:p>
        </w:tc>
        <w:tc>
          <w:tcPr>
            <w:tcW w:w="502" w:type="pct"/>
            <w:shd w:val="clear" w:color="auto" w:fill="auto"/>
            <w:noWrap/>
            <w:vAlign w:val="center"/>
          </w:tcPr>
          <w:p w14:paraId="095A5CDB">
            <w:pPr>
              <w:jc w:val="center"/>
              <w:rPr>
                <w:szCs w:val="24"/>
              </w:rPr>
            </w:pPr>
            <w:r>
              <w:rPr>
                <w:szCs w:val="24"/>
              </w:rPr>
              <w:t>4a类</w:t>
            </w:r>
          </w:p>
        </w:tc>
        <w:tc>
          <w:tcPr>
            <w:tcW w:w="496" w:type="pct"/>
            <w:shd w:val="clear" w:color="auto" w:fill="auto"/>
            <w:noWrap/>
            <w:vAlign w:val="center"/>
          </w:tcPr>
          <w:p w14:paraId="6AA8E9D7">
            <w:pPr>
              <w:jc w:val="center"/>
              <w:rPr>
                <w:szCs w:val="24"/>
              </w:rPr>
            </w:pPr>
            <w:r>
              <w:rPr>
                <w:szCs w:val="24"/>
              </w:rPr>
              <w:t>70</w:t>
            </w:r>
          </w:p>
        </w:tc>
        <w:tc>
          <w:tcPr>
            <w:tcW w:w="496" w:type="pct"/>
            <w:shd w:val="clear" w:color="auto" w:fill="auto"/>
            <w:noWrap/>
            <w:vAlign w:val="center"/>
          </w:tcPr>
          <w:p w14:paraId="6D1FC45B">
            <w:pPr>
              <w:jc w:val="center"/>
              <w:rPr>
                <w:szCs w:val="24"/>
              </w:rPr>
            </w:pPr>
            <w:r>
              <w:rPr>
                <w:szCs w:val="24"/>
              </w:rPr>
              <w:t>55</w:t>
            </w:r>
          </w:p>
        </w:tc>
        <w:tc>
          <w:tcPr>
            <w:tcW w:w="3108" w:type="pct"/>
            <w:shd w:val="clear" w:color="auto" w:fill="auto"/>
            <w:vAlign w:val="center"/>
          </w:tcPr>
          <w:p w14:paraId="76BCBC6F">
            <w:pPr>
              <w:rPr>
                <w:szCs w:val="24"/>
              </w:rPr>
            </w:pPr>
            <w:r>
              <w:rPr>
                <w:rFonts w:hint="eastAsia"/>
                <w:szCs w:val="24"/>
              </w:rPr>
              <w:t>适用于高速公路、一级公路、二级公路、城市快速路、城市主干路、城市次干路、城市轨道交通、内河航道两侧一定距离之内，需要防止交通噪声对周围环境产生严重影响的区域。</w:t>
            </w:r>
          </w:p>
        </w:tc>
      </w:tr>
      <w:tr w14:paraId="05EAB37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540" w:hRule="atLeast"/>
          <w:jc w:val="center"/>
        </w:trPr>
        <w:tc>
          <w:tcPr>
            <w:tcW w:w="398" w:type="pct"/>
            <w:vMerge w:val="continue"/>
            <w:vAlign w:val="center"/>
          </w:tcPr>
          <w:p w14:paraId="2E8DD292">
            <w:pPr>
              <w:jc w:val="center"/>
              <w:rPr>
                <w:szCs w:val="24"/>
              </w:rPr>
            </w:pPr>
          </w:p>
        </w:tc>
        <w:tc>
          <w:tcPr>
            <w:tcW w:w="502" w:type="pct"/>
            <w:shd w:val="clear" w:color="auto" w:fill="auto"/>
            <w:noWrap/>
            <w:vAlign w:val="center"/>
          </w:tcPr>
          <w:p w14:paraId="11D3E915">
            <w:pPr>
              <w:jc w:val="center"/>
              <w:rPr>
                <w:szCs w:val="24"/>
              </w:rPr>
            </w:pPr>
            <w:r>
              <w:rPr>
                <w:szCs w:val="24"/>
              </w:rPr>
              <w:t>4b类</w:t>
            </w:r>
          </w:p>
        </w:tc>
        <w:tc>
          <w:tcPr>
            <w:tcW w:w="496" w:type="pct"/>
            <w:shd w:val="clear" w:color="auto" w:fill="auto"/>
            <w:noWrap/>
            <w:vAlign w:val="center"/>
          </w:tcPr>
          <w:p w14:paraId="09A18D65">
            <w:pPr>
              <w:jc w:val="center"/>
              <w:rPr>
                <w:szCs w:val="24"/>
              </w:rPr>
            </w:pPr>
            <w:r>
              <w:rPr>
                <w:szCs w:val="24"/>
              </w:rPr>
              <w:t>70</w:t>
            </w:r>
          </w:p>
        </w:tc>
        <w:tc>
          <w:tcPr>
            <w:tcW w:w="496" w:type="pct"/>
            <w:shd w:val="clear" w:color="auto" w:fill="auto"/>
            <w:noWrap/>
            <w:vAlign w:val="center"/>
          </w:tcPr>
          <w:p w14:paraId="15BA091A">
            <w:pPr>
              <w:jc w:val="center"/>
              <w:rPr>
                <w:szCs w:val="24"/>
              </w:rPr>
            </w:pPr>
            <w:r>
              <w:rPr>
                <w:szCs w:val="24"/>
              </w:rPr>
              <w:t>60</w:t>
            </w:r>
          </w:p>
        </w:tc>
        <w:tc>
          <w:tcPr>
            <w:tcW w:w="3108" w:type="pct"/>
            <w:shd w:val="clear" w:color="auto" w:fill="auto"/>
            <w:vAlign w:val="center"/>
          </w:tcPr>
          <w:p w14:paraId="1CFBE0C5">
            <w:pPr>
              <w:rPr>
                <w:szCs w:val="24"/>
              </w:rPr>
            </w:pPr>
            <w:r>
              <w:rPr>
                <w:rFonts w:hint="eastAsia"/>
                <w:szCs w:val="24"/>
              </w:rPr>
              <w:t>适用于铁路干线两侧一定距离之内，需要防止交通噪声对周围环境产生严重影响的区域。</w:t>
            </w:r>
          </w:p>
        </w:tc>
      </w:tr>
    </w:tbl>
    <w:p w14:paraId="17F4BF05">
      <w:pPr>
        <w:pStyle w:val="33"/>
        <w:spacing w:line="276" w:lineRule="auto"/>
        <w:ind w:left="210" w:leftChars="100" w:firstLine="0" w:firstLineChars="0"/>
        <w:rPr>
          <w:rFonts w:ascii="微软雅黑" w:hAnsi="微软雅黑"/>
          <w:sz w:val="16"/>
        </w:rPr>
      </w:pPr>
      <w:r>
        <w:rPr>
          <w:rFonts w:hint="eastAsia" w:ascii="微软雅黑" w:hAnsi="微软雅黑"/>
          <w:sz w:val="16"/>
        </w:rPr>
        <w:t>注：</w:t>
      </w:r>
    </w:p>
    <w:p w14:paraId="2350D8EB">
      <w:pPr>
        <w:pStyle w:val="33"/>
        <w:spacing w:line="276" w:lineRule="auto"/>
        <w:ind w:left="210" w:leftChars="100" w:firstLine="0" w:firstLineChars="0"/>
        <w:rPr>
          <w:rFonts w:ascii="微软雅黑" w:hAnsi="微软雅黑"/>
          <w:sz w:val="16"/>
        </w:rPr>
      </w:pPr>
      <w:r>
        <w:rPr>
          <w:rFonts w:hint="eastAsia" w:ascii="微软雅黑" w:hAnsi="微软雅黑"/>
          <w:sz w:val="16"/>
        </w:rPr>
        <w:t>1.</w:t>
      </w:r>
      <w:r>
        <w:rPr>
          <w:rFonts w:ascii="微软雅黑" w:hAnsi="微软雅黑"/>
          <w:sz w:val="16"/>
        </w:rPr>
        <w:t xml:space="preserve"> </w:t>
      </w:r>
      <w:r>
        <w:rPr>
          <w:rFonts w:hint="eastAsia" w:ascii="微软雅黑" w:hAnsi="微软雅黑"/>
          <w:sz w:val="16"/>
        </w:rPr>
        <w:t>根据《中华人民</w:t>
      </w:r>
      <w:r>
        <w:rPr>
          <w:rFonts w:ascii="微软雅黑" w:hAnsi="微软雅黑"/>
          <w:sz w:val="16"/>
        </w:rPr>
        <w:t>共和国环境</w:t>
      </w:r>
      <w:r>
        <w:rPr>
          <w:rFonts w:hint="eastAsia" w:ascii="微软雅黑" w:hAnsi="微软雅黑"/>
          <w:sz w:val="16"/>
        </w:rPr>
        <w:t>噪声</w:t>
      </w:r>
      <w:r>
        <w:rPr>
          <w:rFonts w:ascii="微软雅黑" w:hAnsi="微软雅黑"/>
          <w:sz w:val="16"/>
        </w:rPr>
        <w:t>污染防治法</w:t>
      </w:r>
      <w:r>
        <w:rPr>
          <w:rFonts w:hint="eastAsia" w:ascii="微软雅黑" w:hAnsi="微软雅黑"/>
          <w:sz w:val="16"/>
        </w:rPr>
        <w:t>》，“昼间”是指6:00至22:00之间</w:t>
      </w:r>
      <w:r>
        <w:rPr>
          <w:rFonts w:ascii="微软雅黑" w:hAnsi="微软雅黑"/>
          <w:sz w:val="16"/>
        </w:rPr>
        <w:t>的时段；</w:t>
      </w:r>
      <w:r>
        <w:rPr>
          <w:rFonts w:hint="eastAsia" w:ascii="微软雅黑" w:hAnsi="微软雅黑"/>
          <w:sz w:val="16"/>
        </w:rPr>
        <w:t>“夜间”是指22：00至</w:t>
      </w:r>
      <w:r>
        <w:rPr>
          <w:rFonts w:ascii="微软雅黑" w:hAnsi="微软雅黑"/>
          <w:sz w:val="16"/>
        </w:rPr>
        <w:t>次日</w:t>
      </w:r>
      <w:r>
        <w:rPr>
          <w:rFonts w:hint="eastAsia" w:ascii="微软雅黑" w:hAnsi="微软雅黑"/>
          <w:sz w:val="16"/>
        </w:rPr>
        <w:t>6:00之间</w:t>
      </w:r>
      <w:r>
        <w:rPr>
          <w:rFonts w:ascii="微软雅黑" w:hAnsi="微软雅黑"/>
          <w:sz w:val="16"/>
        </w:rPr>
        <w:t>的时段。</w:t>
      </w:r>
    </w:p>
    <w:p w14:paraId="6F9E6864">
      <w:pPr>
        <w:pStyle w:val="33"/>
        <w:spacing w:line="276" w:lineRule="auto"/>
        <w:ind w:left="210" w:leftChars="100" w:firstLine="0" w:firstLineChars="0"/>
        <w:rPr>
          <w:rFonts w:ascii="微软雅黑" w:hAnsi="微软雅黑"/>
          <w:sz w:val="16"/>
        </w:rPr>
      </w:pPr>
      <w:r>
        <w:rPr>
          <w:rFonts w:hint="eastAsia" w:ascii="微软雅黑" w:hAnsi="微软雅黑"/>
          <w:sz w:val="16"/>
        </w:rPr>
        <w:t>2.</w:t>
      </w:r>
      <w:r>
        <w:rPr>
          <w:rFonts w:ascii="微软雅黑" w:hAnsi="微软雅黑"/>
          <w:sz w:val="16"/>
        </w:rPr>
        <w:t xml:space="preserve"> </w:t>
      </w:r>
      <w:r>
        <w:rPr>
          <w:rFonts w:hint="eastAsia" w:ascii="微软雅黑" w:hAnsi="微软雅黑"/>
          <w:sz w:val="16"/>
        </w:rPr>
        <w:t>表中4b类声环境功能区环境噪声限值，适用于2011 年1 月1 日起环境影响评价文件通过审批的新建铁路（含新开廊道的增建铁路）干线建设项目两侧区域。</w:t>
      </w:r>
    </w:p>
    <w:p w14:paraId="2B17A6EF">
      <w:pPr>
        <w:pStyle w:val="2"/>
        <w:rPr>
          <w:sz w:val="28"/>
          <w:szCs w:val="28"/>
        </w:rPr>
      </w:pPr>
      <w:bookmarkStart w:id="24" w:name="声功能区类别表格"/>
      <w:bookmarkEnd w:id="24"/>
      <w:bookmarkStart w:id="25" w:name="_Toc479326721"/>
      <w:bookmarkStart w:id="26" w:name="_Toc3728"/>
      <w:r>
        <w:rPr>
          <w:rFonts w:hint="eastAsia"/>
          <w:sz w:val="28"/>
          <w:szCs w:val="28"/>
        </w:rPr>
        <w:t>3.模拟</w:t>
      </w:r>
      <w:r>
        <w:rPr>
          <w:sz w:val="28"/>
          <w:szCs w:val="28"/>
        </w:rPr>
        <w:t>方法</w:t>
      </w:r>
      <w:bookmarkEnd w:id="25"/>
      <w:bookmarkEnd w:id="26"/>
    </w:p>
    <w:p w14:paraId="456BFA29">
      <w:pPr>
        <w:pStyle w:val="3"/>
        <w:rPr>
          <w:sz w:val="24"/>
          <w:szCs w:val="24"/>
        </w:rPr>
      </w:pPr>
      <w:bookmarkStart w:id="27" w:name="_Toc479326722"/>
      <w:bookmarkStart w:id="28" w:name="_Toc18253"/>
      <w:r>
        <w:rPr>
          <w:rFonts w:hint="eastAsia"/>
          <w:sz w:val="24"/>
          <w:szCs w:val="24"/>
        </w:rPr>
        <w:t>3.1模拟软件</w:t>
      </w:r>
      <w:bookmarkEnd w:id="27"/>
      <w:bookmarkEnd w:id="28"/>
    </w:p>
    <w:p w14:paraId="5A68E0D8">
      <w:pPr>
        <w:pStyle w:val="33"/>
        <w:spacing w:line="276" w:lineRule="auto"/>
        <w:ind w:firstLine="420"/>
        <w:rPr>
          <w:rFonts w:ascii="微软雅黑" w:hAnsi="微软雅黑" w:cs="Times New Roman"/>
          <w:sz w:val="21"/>
          <w:szCs w:val="21"/>
        </w:rPr>
      </w:pPr>
      <w:bookmarkStart w:id="29" w:name="_Toc479326723"/>
      <w:r>
        <w:rPr>
          <w:rFonts w:hint="eastAsia"/>
          <w:sz w:val="21"/>
          <w:szCs w:val="21"/>
        </w:rPr>
        <w:t>本报告采用建筑</w:t>
      </w:r>
      <w:r>
        <w:rPr>
          <w:sz w:val="21"/>
          <w:szCs w:val="21"/>
        </w:rPr>
        <w:t>声环境</w:t>
      </w:r>
      <w:r>
        <w:rPr>
          <w:rFonts w:ascii="微软雅黑" w:hAnsi="微软雅黑"/>
          <w:sz w:val="21"/>
          <w:szCs w:val="21"/>
        </w:rPr>
        <w:t>分析软件</w:t>
      </w:r>
      <w:r>
        <w:rPr>
          <w:rFonts w:hint="eastAsia" w:ascii="微软雅黑" w:hAnsi="微软雅黑"/>
          <w:sz w:val="21"/>
          <w:szCs w:val="21"/>
        </w:rPr>
        <w:t>S</w:t>
      </w:r>
      <w:r>
        <w:rPr>
          <w:rFonts w:ascii="微软雅黑" w:hAnsi="微软雅黑"/>
          <w:sz w:val="21"/>
          <w:szCs w:val="21"/>
        </w:rPr>
        <w:t>E</w:t>
      </w:r>
      <w:r>
        <w:rPr>
          <w:rFonts w:hint="eastAsia" w:ascii="微软雅黑" w:hAnsi="微软雅黑"/>
          <w:sz w:val="21"/>
          <w:szCs w:val="21"/>
        </w:rPr>
        <w:t>DU进行模拟计算分析。S</w:t>
      </w:r>
      <w:r>
        <w:rPr>
          <w:rFonts w:ascii="微软雅黑" w:hAnsi="微软雅黑"/>
          <w:sz w:val="21"/>
          <w:szCs w:val="21"/>
        </w:rPr>
        <w:t>E</w:t>
      </w:r>
      <w:r>
        <w:rPr>
          <w:rFonts w:hint="eastAsia" w:ascii="微软雅黑" w:hAnsi="微软雅黑"/>
          <w:sz w:val="21"/>
          <w:szCs w:val="21"/>
        </w:rPr>
        <w:t>DU是一</w:t>
      </w:r>
      <w:r>
        <w:rPr>
          <w:rFonts w:hint="eastAsia"/>
          <w:sz w:val="21"/>
          <w:szCs w:val="21"/>
        </w:rPr>
        <w:t>款可用</w:t>
      </w:r>
      <w:r>
        <w:rPr>
          <w:sz w:val="21"/>
          <w:szCs w:val="21"/>
        </w:rPr>
        <w:t>于</w:t>
      </w:r>
      <w:r>
        <w:rPr>
          <w:rFonts w:hint="eastAsia"/>
          <w:sz w:val="21"/>
          <w:szCs w:val="21"/>
        </w:rPr>
        <w:t>噪声</w:t>
      </w:r>
      <w:r>
        <w:rPr>
          <w:rFonts w:hint="eastAsia" w:ascii="微软雅黑" w:hAnsi="微软雅黑"/>
          <w:sz w:val="21"/>
          <w:szCs w:val="21"/>
        </w:rPr>
        <w:t>计算、评估和预测的软件，</w:t>
      </w:r>
      <w:r>
        <w:rPr>
          <w:rFonts w:ascii="微软雅黑" w:hAnsi="微软雅黑" w:cs="Times New Roman"/>
          <w:sz w:val="21"/>
          <w:szCs w:val="21"/>
        </w:rPr>
        <w:t>计算原理源于国际标准化组织规定的《户外声传播的衰减的计算方法</w:t>
      </w:r>
      <w:r>
        <w:rPr>
          <w:rFonts w:ascii="微软雅黑" w:hAnsi="微软雅黑" w:cs="Times New Roman"/>
          <w:spacing w:val="11"/>
          <w:kern w:val="0"/>
          <w:sz w:val="21"/>
          <w:szCs w:val="21"/>
          <w:fitText w:val="294" w:id="1672124160"/>
        </w:rPr>
        <w:t>》</w:t>
      </w:r>
      <w:r>
        <w:rPr>
          <w:rFonts w:ascii="微软雅黑" w:hAnsi="微软雅黑" w:cs="Times New Roman"/>
          <w:spacing w:val="0"/>
          <w:kern w:val="0"/>
          <w:sz w:val="21"/>
          <w:szCs w:val="21"/>
          <w:fitText w:val="294" w:id="1672124160"/>
        </w:rPr>
        <w:t>I</w:t>
      </w:r>
      <w:r>
        <w:rPr>
          <w:rFonts w:ascii="微软雅黑" w:hAnsi="微软雅黑" w:cs="Times New Roman"/>
          <w:sz w:val="21"/>
          <w:szCs w:val="21"/>
        </w:rPr>
        <w:t>SO 9613-2：1996、国内公布的《声学户外声传播的衰减第2部分：一般计算方法》GB/T 17247.2-1998和《环境影响评价技术导则》HJ2.4-20</w:t>
      </w:r>
      <w:r>
        <w:rPr>
          <w:rFonts w:hint="eastAsia" w:ascii="微软雅黑" w:hAnsi="微软雅黑" w:cs="Times New Roman"/>
          <w:sz w:val="21"/>
          <w:szCs w:val="21"/>
        </w:rPr>
        <w:t>21</w:t>
      </w:r>
      <w:r>
        <w:rPr>
          <w:rFonts w:ascii="微软雅黑" w:hAnsi="微软雅黑" w:cs="Times New Roman"/>
          <w:sz w:val="21"/>
          <w:szCs w:val="21"/>
        </w:rPr>
        <w:t>、《公路建设项目环境影响评价规范》JTG B03-2006。软件计算严格按照国家相关标准要求编制，室内外可接力计算，室外计算结果可作为噪声边界条件接力进行后续建筑室内隔声性能的计算。</w:t>
      </w:r>
    </w:p>
    <w:p w14:paraId="0486922B">
      <w:pPr>
        <w:pStyle w:val="33"/>
        <w:spacing w:line="276" w:lineRule="auto"/>
        <w:ind w:firstLine="420"/>
        <w:rPr>
          <w:rFonts w:ascii="微软雅黑" w:hAnsi="微软雅黑"/>
          <w:sz w:val="21"/>
          <w:szCs w:val="21"/>
        </w:rPr>
      </w:pPr>
      <w:r>
        <w:rPr>
          <w:rFonts w:ascii="微软雅黑" w:hAnsi="微软雅黑" w:cs="Times New Roman"/>
          <w:sz w:val="21"/>
          <w:szCs w:val="21"/>
        </w:rPr>
        <w:t>考虑到本项目建成后周边噪声环境情况</w:t>
      </w:r>
      <w:r>
        <w:rPr>
          <w:rFonts w:hint="eastAsia" w:ascii="微软雅黑" w:hAnsi="微软雅黑"/>
          <w:sz w:val="21"/>
          <w:szCs w:val="21"/>
        </w:rPr>
        <w:t>的复杂性，本报告需要使用软件分别模拟计算昼间和夜间噪声值，包括项目场地的平面噪声分布、噪声敏感建筑的沿建筑物底轮廓线1.5米高度处和噪声敏感建筑立面噪声分布，并依据《声环境功能区划分技术规范》</w:t>
      </w:r>
      <w:r>
        <w:rPr>
          <w:rFonts w:ascii="微软雅黑" w:hAnsi="微软雅黑"/>
          <w:sz w:val="21"/>
          <w:szCs w:val="21"/>
        </w:rPr>
        <w:t>GB/T 15190</w:t>
      </w:r>
      <w:r>
        <w:rPr>
          <w:rFonts w:hint="eastAsia" w:ascii="微软雅黑" w:hAnsi="微软雅黑"/>
          <w:sz w:val="21"/>
          <w:szCs w:val="21"/>
        </w:rPr>
        <w:t>，判断场地内环境噪声模拟结果是否满足《声环境质量标准》</w:t>
      </w:r>
      <w:r>
        <w:rPr>
          <w:rFonts w:ascii="微软雅黑" w:hAnsi="微软雅黑"/>
          <w:sz w:val="21"/>
          <w:szCs w:val="21"/>
        </w:rPr>
        <w:t>GB 3096</w:t>
      </w:r>
      <w:r>
        <w:rPr>
          <w:rFonts w:hint="eastAsia" w:ascii="微软雅黑" w:hAnsi="微软雅黑"/>
          <w:sz w:val="21"/>
          <w:szCs w:val="21"/>
        </w:rPr>
        <w:t>和《绿色建筑评价标准》GB 50378的相关规定。</w:t>
      </w:r>
    </w:p>
    <w:p w14:paraId="39A22AFA">
      <w:pPr>
        <w:pStyle w:val="3"/>
        <w:rPr>
          <w:sz w:val="24"/>
          <w:szCs w:val="24"/>
        </w:rPr>
      </w:pPr>
      <w:bookmarkStart w:id="30" w:name="_Toc9174"/>
      <w:r>
        <w:rPr>
          <w:rFonts w:hint="eastAsia"/>
          <w:sz w:val="24"/>
          <w:szCs w:val="24"/>
        </w:rPr>
        <w:t>3.2分析</w:t>
      </w:r>
      <w:r>
        <w:rPr>
          <w:sz w:val="24"/>
          <w:szCs w:val="24"/>
        </w:rPr>
        <w:t>模</w:t>
      </w:r>
      <w:r>
        <w:rPr>
          <w:rFonts w:hint="eastAsia"/>
          <w:sz w:val="24"/>
          <w:szCs w:val="24"/>
        </w:rPr>
        <w:t>型</w:t>
      </w:r>
      <w:bookmarkEnd w:id="29"/>
      <w:bookmarkEnd w:id="30"/>
    </w:p>
    <w:p w14:paraId="1D578ADF">
      <w:pPr>
        <w:spacing w:line="276" w:lineRule="auto"/>
        <w:ind w:firstLine="420" w:firstLineChars="200"/>
        <w:rPr>
          <w:rFonts w:ascii="Times New Roman" w:hAnsi="Times New Roman" w:cs="宋体"/>
        </w:rPr>
      </w:pPr>
      <w:r>
        <w:rPr>
          <w:rFonts w:hint="eastAsia" w:ascii="Times New Roman" w:hAnsi="Times New Roman" w:cs="宋体"/>
        </w:rPr>
        <w:t>本报告根据建筑设计图纸等相关资料建立室外声环境模拟分析模型，主要包括参评目标建筑、周边建筑、声屏障、道路（包括轨道交通）和绿化带等对象。</w:t>
      </w:r>
    </w:p>
    <w:p w14:paraId="42773C84">
      <w:pPr>
        <w:spacing w:line="276" w:lineRule="auto"/>
        <w:ind w:firstLine="420"/>
        <w:rPr>
          <w:rFonts w:ascii="Times New Roman" w:hAnsi="Times New Roman" w:cs="宋体"/>
        </w:rPr>
      </w:pPr>
      <w:r>
        <w:rPr>
          <w:rFonts w:hint="eastAsia" w:ascii="Times New Roman" w:hAnsi="Times New Roman" w:cs="宋体"/>
        </w:rPr>
        <w:t>本项目</w:t>
      </w:r>
      <w:r>
        <w:rPr>
          <w:rFonts w:ascii="Times New Roman" w:hAnsi="Times New Roman" w:cs="宋体"/>
        </w:rPr>
        <w:t>噪声分析模型如下图所示：</w:t>
      </w:r>
    </w:p>
    <w:p w14:paraId="735973EF">
      <w:pPr>
        <w:autoSpaceDE w:val="0"/>
        <w:autoSpaceDN w:val="0"/>
        <w:adjustRightInd w:val="0"/>
        <w:jc w:val="center"/>
        <w:rPr>
          <w:rFonts w:ascii="Times New Roman" w:hAnsi="Times New Roman"/>
          <w:color w:val="FF0000"/>
        </w:rPr>
      </w:pPr>
      <w:bookmarkStart w:id="31" w:name="建设项目室外声环境分析模型平面图"/>
      <w:bookmarkEnd w:id="31"/>
      <w:r>
        <w:drawing>
          <wp:inline distT="0" distB="0" distL="0" distR="0">
            <wp:extent cx="5667375" cy="382905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14"/>
                    <a:stretch>
                      <a:fillRect/>
                    </a:stretch>
                  </pic:blipFill>
                  <pic:spPr>
                    <a:xfrm>
                      <a:off x="0" y="0"/>
                      <a:ext cx="5667375" cy="3829050"/>
                    </a:xfrm>
                    <a:prstGeom prst="rect">
                      <a:avLst/>
                    </a:prstGeom>
                  </pic:spPr>
                </pic:pic>
              </a:graphicData>
            </a:graphic>
          </wp:inline>
        </w:drawing>
      </w:r>
    </w:p>
    <w:p w14:paraId="49C18BD0">
      <w:pPr>
        <w:jc w:val="center"/>
        <w:rPr>
          <w:sz w:val="18"/>
          <w:szCs w:val="18"/>
        </w:rPr>
      </w:pPr>
      <w:r>
        <w:rPr>
          <w:rFonts w:hint="eastAsia"/>
          <w:sz w:val="18"/>
          <w:szCs w:val="18"/>
        </w:rPr>
        <w:t>图3.</w:t>
      </w:r>
      <w:r>
        <w:rPr>
          <w:sz w:val="18"/>
          <w:szCs w:val="18"/>
        </w:rPr>
        <w:t>2-1</w:t>
      </w:r>
      <w:r>
        <w:rPr>
          <w:rFonts w:hint="eastAsia"/>
          <w:sz w:val="18"/>
          <w:szCs w:val="18"/>
        </w:rPr>
        <w:t xml:space="preserve"> 模型平面图</w:t>
      </w:r>
    </w:p>
    <w:p w14:paraId="23A37C4D">
      <w:pPr>
        <w:spacing w:before="240"/>
        <w:ind w:firstLine="420" w:firstLineChars="200"/>
      </w:pPr>
      <w:r>
        <w:rPr>
          <w:rFonts w:hint="eastAsia"/>
        </w:rPr>
        <w:t>场地规划布局和建筑平面设计时应合理规划噪声源区域和噪声敏感区域，并进行识别和标注。噪声源（如交通干线、换热站等）、噪声敏感建筑物（如住宅楼、病房楼、客房楼等）、噪声不敏感建筑物（如食堂、商业建筑）、降噪措施（如绿化带、隔声屏障）；应在建筑总平面图中用不同颜色色块进行声学分区标注，噪声源用红色色块标注、噪声不敏感建筑物用黄色色块标注、降噪措施用蓝色色块标注、噪声敏感建筑物用绿色色块标注。</w:t>
      </w:r>
    </w:p>
    <w:p w14:paraId="3B36BE0D">
      <w:pPr>
        <w:widowControl/>
        <w:spacing w:before="240"/>
        <w:jc w:val="center"/>
        <w:rPr>
          <w:kern w:val="0"/>
          <w:sz w:val="18"/>
          <w:szCs w:val="18"/>
        </w:rPr>
      </w:pPr>
      <w:bookmarkStart w:id="32" w:name="室外声区标注图"/>
      <w:bookmarkEnd w:id="32"/>
      <w:r>
        <w:drawing>
          <wp:inline distT="0" distB="0" distL="0" distR="0">
            <wp:extent cx="5667375" cy="382905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15"/>
                    <a:stretch>
                      <a:fillRect/>
                    </a:stretch>
                  </pic:blipFill>
                  <pic:spPr>
                    <a:xfrm>
                      <a:off x="0" y="0"/>
                      <a:ext cx="5667375" cy="3829050"/>
                    </a:xfrm>
                    <a:prstGeom prst="rect">
                      <a:avLst/>
                    </a:prstGeom>
                  </pic:spPr>
                </pic:pic>
              </a:graphicData>
            </a:graphic>
          </wp:inline>
        </w:drawing>
      </w:r>
    </w:p>
    <w:tbl>
      <w:tblPr>
        <w:tblStyle w:val="16"/>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02"/>
        <w:gridCol w:w="894"/>
        <w:gridCol w:w="851"/>
        <w:gridCol w:w="709"/>
        <w:gridCol w:w="1417"/>
        <w:gridCol w:w="709"/>
        <w:gridCol w:w="1276"/>
        <w:gridCol w:w="708"/>
      </w:tblGrid>
      <w:tr w14:paraId="00C810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9" w:hRule="atLeast"/>
          <w:jc w:val="center"/>
        </w:trPr>
        <w:tc>
          <w:tcPr>
            <w:tcW w:w="802" w:type="dxa"/>
            <w:vAlign w:val="center"/>
          </w:tcPr>
          <w:p w14:paraId="1041F655">
            <w:pPr>
              <w:jc w:val="both"/>
              <w:rPr>
                <w:sz w:val="15"/>
                <w:szCs w:val="15"/>
              </w:rPr>
            </w:pPr>
            <w:r>
              <w:rPr>
                <w:rFonts w:hint="eastAsia"/>
                <w:sz w:val="15"/>
                <w:szCs w:val="15"/>
              </w:rPr>
              <w:t>噪声源</w:t>
            </w:r>
          </w:p>
        </w:tc>
        <w:tc>
          <w:tcPr>
            <w:tcW w:w="894" w:type="dxa"/>
            <w:vAlign w:val="center"/>
          </w:tcPr>
          <w:p w14:paraId="4D93CA75">
            <w:pPr>
              <w:jc w:val="both"/>
              <w:rPr>
                <w:sz w:val="15"/>
                <w:szCs w:val="15"/>
              </w:rPr>
            </w:pPr>
            <w:r>
              <w:rPr>
                <w:sz w:val="15"/>
                <w:szCs w:val="15"/>
              </w:rPr>
              <w:drawing>
                <wp:inline distT="0" distB="0" distL="0" distR="0">
                  <wp:extent cx="250825" cy="170815"/>
                  <wp:effectExtent l="0" t="0" r="0" b="63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6"/>
                          <a:stretch>
                            <a:fillRect/>
                          </a:stretch>
                        </pic:blipFill>
                        <pic:spPr>
                          <a:xfrm>
                            <a:off x="0" y="0"/>
                            <a:ext cx="280211" cy="190447"/>
                          </a:xfrm>
                          <a:prstGeom prst="rect">
                            <a:avLst/>
                          </a:prstGeom>
                        </pic:spPr>
                      </pic:pic>
                    </a:graphicData>
                  </a:graphic>
                </wp:inline>
              </w:drawing>
            </w:r>
          </w:p>
        </w:tc>
        <w:tc>
          <w:tcPr>
            <w:tcW w:w="851" w:type="dxa"/>
            <w:vAlign w:val="center"/>
          </w:tcPr>
          <w:p w14:paraId="39CAD175">
            <w:pPr>
              <w:jc w:val="both"/>
              <w:rPr>
                <w:sz w:val="15"/>
                <w:szCs w:val="15"/>
              </w:rPr>
            </w:pPr>
            <w:r>
              <w:rPr>
                <w:rFonts w:hint="eastAsia"/>
                <w:sz w:val="15"/>
                <w:szCs w:val="15"/>
              </w:rPr>
              <w:t>降噪措施</w:t>
            </w:r>
          </w:p>
        </w:tc>
        <w:tc>
          <w:tcPr>
            <w:tcW w:w="709" w:type="dxa"/>
            <w:vAlign w:val="center"/>
          </w:tcPr>
          <w:p w14:paraId="34D23F02">
            <w:pPr>
              <w:jc w:val="both"/>
              <w:rPr>
                <w:sz w:val="15"/>
                <w:szCs w:val="15"/>
              </w:rPr>
            </w:pPr>
            <w:r>
              <w:rPr>
                <w:sz w:val="15"/>
                <w:szCs w:val="15"/>
              </w:rPr>
              <w:drawing>
                <wp:inline distT="0" distB="0" distL="0" distR="0">
                  <wp:extent cx="234950" cy="17526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7"/>
                          <a:stretch>
                            <a:fillRect/>
                          </a:stretch>
                        </pic:blipFill>
                        <pic:spPr>
                          <a:xfrm>
                            <a:off x="0" y="0"/>
                            <a:ext cx="250461" cy="186565"/>
                          </a:xfrm>
                          <a:prstGeom prst="rect">
                            <a:avLst/>
                          </a:prstGeom>
                        </pic:spPr>
                      </pic:pic>
                    </a:graphicData>
                  </a:graphic>
                </wp:inline>
              </w:drawing>
            </w:r>
          </w:p>
        </w:tc>
        <w:tc>
          <w:tcPr>
            <w:tcW w:w="1417" w:type="dxa"/>
            <w:vAlign w:val="center"/>
          </w:tcPr>
          <w:p w14:paraId="0EE9741D">
            <w:pPr>
              <w:jc w:val="both"/>
              <w:rPr>
                <w:sz w:val="15"/>
                <w:szCs w:val="15"/>
              </w:rPr>
            </w:pPr>
            <w:r>
              <w:rPr>
                <w:rFonts w:hint="eastAsia"/>
                <w:sz w:val="15"/>
                <w:szCs w:val="15"/>
              </w:rPr>
              <w:t>噪声不敏感建筑物</w:t>
            </w:r>
          </w:p>
        </w:tc>
        <w:tc>
          <w:tcPr>
            <w:tcW w:w="709" w:type="dxa"/>
            <w:vAlign w:val="center"/>
          </w:tcPr>
          <w:p w14:paraId="46DE4ECA">
            <w:pPr>
              <w:jc w:val="both"/>
              <w:rPr>
                <w:sz w:val="15"/>
                <w:szCs w:val="15"/>
              </w:rPr>
            </w:pPr>
            <w:r>
              <w:rPr>
                <w:sz w:val="15"/>
                <w:szCs w:val="15"/>
              </w:rPr>
              <w:drawing>
                <wp:inline distT="0" distB="0" distL="0" distR="0">
                  <wp:extent cx="234950" cy="165100"/>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8"/>
                          <a:stretch>
                            <a:fillRect/>
                          </a:stretch>
                        </pic:blipFill>
                        <pic:spPr>
                          <a:xfrm>
                            <a:off x="0" y="0"/>
                            <a:ext cx="246477" cy="172954"/>
                          </a:xfrm>
                          <a:prstGeom prst="rect">
                            <a:avLst/>
                          </a:prstGeom>
                        </pic:spPr>
                      </pic:pic>
                    </a:graphicData>
                  </a:graphic>
                </wp:inline>
              </w:drawing>
            </w:r>
          </w:p>
        </w:tc>
        <w:tc>
          <w:tcPr>
            <w:tcW w:w="1276" w:type="dxa"/>
            <w:vAlign w:val="center"/>
          </w:tcPr>
          <w:p w14:paraId="639D2233">
            <w:pPr>
              <w:jc w:val="both"/>
              <w:rPr>
                <w:sz w:val="15"/>
                <w:szCs w:val="15"/>
              </w:rPr>
            </w:pPr>
            <w:r>
              <w:rPr>
                <w:rFonts w:hint="eastAsia"/>
                <w:sz w:val="15"/>
                <w:szCs w:val="15"/>
              </w:rPr>
              <w:t>噪声敏感建筑物</w:t>
            </w:r>
          </w:p>
        </w:tc>
        <w:tc>
          <w:tcPr>
            <w:tcW w:w="708" w:type="dxa"/>
            <w:vAlign w:val="center"/>
          </w:tcPr>
          <w:p w14:paraId="15319776">
            <w:pPr>
              <w:jc w:val="both"/>
              <w:rPr>
                <w:sz w:val="15"/>
                <w:szCs w:val="15"/>
              </w:rPr>
            </w:pPr>
            <w:r>
              <w:rPr>
                <w:sz w:val="15"/>
                <w:szCs w:val="15"/>
              </w:rPr>
              <w:drawing>
                <wp:inline distT="0" distB="0" distL="0" distR="0">
                  <wp:extent cx="224155" cy="165100"/>
                  <wp:effectExtent l="0" t="0" r="4445"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9"/>
                          <a:stretch>
                            <a:fillRect/>
                          </a:stretch>
                        </pic:blipFill>
                        <pic:spPr>
                          <a:xfrm>
                            <a:off x="0" y="0"/>
                            <a:ext cx="242714" cy="178424"/>
                          </a:xfrm>
                          <a:prstGeom prst="rect">
                            <a:avLst/>
                          </a:prstGeom>
                        </pic:spPr>
                      </pic:pic>
                    </a:graphicData>
                  </a:graphic>
                </wp:inline>
              </w:drawing>
            </w:r>
          </w:p>
        </w:tc>
      </w:tr>
    </w:tbl>
    <w:p w14:paraId="202E8A37">
      <w:pPr>
        <w:jc w:val="center"/>
        <w:rPr>
          <w:kern w:val="0"/>
          <w:sz w:val="18"/>
          <w:szCs w:val="18"/>
        </w:rPr>
      </w:pPr>
      <w:r>
        <w:rPr>
          <w:rFonts w:hint="eastAsia"/>
          <w:sz w:val="18"/>
          <w:szCs w:val="18"/>
        </w:rPr>
        <w:t>图3.</w:t>
      </w:r>
      <w:r>
        <w:rPr>
          <w:sz w:val="18"/>
          <w:szCs w:val="18"/>
        </w:rPr>
        <w:t>2-</w:t>
      </w:r>
      <w:r>
        <w:rPr>
          <w:rFonts w:hint="eastAsia"/>
          <w:sz w:val="18"/>
          <w:szCs w:val="18"/>
        </w:rPr>
        <w:t xml:space="preserve">2 </w:t>
      </w:r>
      <w:r>
        <w:rPr>
          <w:sz w:val="18"/>
          <w:szCs w:val="18"/>
        </w:rPr>
        <w:t>室外声区标注图</w:t>
      </w:r>
    </w:p>
    <w:p w14:paraId="211D8B4C">
      <w:pPr>
        <w:pStyle w:val="3"/>
        <w:rPr>
          <w:rFonts w:ascii="宋体"/>
          <w:sz w:val="24"/>
          <w:szCs w:val="24"/>
        </w:rPr>
      </w:pPr>
      <w:bookmarkStart w:id="33" w:name="_Toc479326725"/>
      <w:bookmarkStart w:id="34" w:name="_Toc21867"/>
      <w:r>
        <w:rPr>
          <w:rFonts w:hint="eastAsia"/>
          <w:sz w:val="24"/>
          <w:szCs w:val="24"/>
        </w:rPr>
        <w:t>3.</w:t>
      </w:r>
      <w:r>
        <w:rPr>
          <w:sz w:val="24"/>
          <w:szCs w:val="24"/>
        </w:rPr>
        <w:t>3</w:t>
      </w:r>
      <w:r>
        <w:rPr>
          <w:rFonts w:hint="eastAsia"/>
          <w:sz w:val="24"/>
          <w:szCs w:val="24"/>
        </w:rPr>
        <w:t>计算条件</w:t>
      </w:r>
      <w:bookmarkEnd w:id="33"/>
      <w:bookmarkEnd w:id="34"/>
    </w:p>
    <w:p w14:paraId="0575A932">
      <w:pPr>
        <w:rPr>
          <w:bCs/>
        </w:rPr>
      </w:pPr>
      <w:bookmarkStart w:id="35" w:name="计算条件"/>
      <w:r>
        <w:rPr>
          <w:rFonts w:hint="eastAsia"/>
          <w:bCs/>
        </w:rPr>
        <w:t>■ 网格设置</w:t>
      </w:r>
    </w:p>
    <w:p w14:paraId="45ECA6C2">
      <w:pPr>
        <w:rPr>
          <w:bCs/>
        </w:rPr>
      </w:pPr>
      <w:r>
        <w:rPr>
          <w:bCs/>
          <w:color w:val="000000"/>
        </w:rPr>
        <w:t xml:space="preserve">  平面网格间距：20×20 米</w:t>
      </w:r>
    </w:p>
    <w:p w14:paraId="7C9AF9C8">
      <w:pPr>
        <w:rPr>
          <w:bCs/>
        </w:rPr>
      </w:pPr>
      <w:r>
        <w:rPr>
          <w:bCs/>
          <w:color w:val="000000"/>
        </w:rPr>
        <w:t xml:space="preserve">  平面网格离地高度：1.5 米</w:t>
      </w:r>
    </w:p>
    <w:p w14:paraId="7176F696">
      <w:pPr>
        <w:rPr>
          <w:bCs/>
        </w:rPr>
      </w:pPr>
      <w:r>
        <w:rPr>
          <w:bCs/>
          <w:color w:val="000000"/>
        </w:rPr>
        <w:t xml:space="preserve">  立面网格间距：3×3 米</w:t>
      </w:r>
    </w:p>
    <w:p w14:paraId="2A62202A">
      <w:pPr>
        <w:rPr>
          <w:bCs/>
        </w:rPr>
      </w:pPr>
    </w:p>
    <w:p w14:paraId="163B6F7C">
      <w:pPr>
        <w:rPr>
          <w:bCs/>
        </w:rPr>
      </w:pPr>
      <w:r>
        <w:rPr>
          <w:bCs/>
          <w:color w:val="000000"/>
        </w:rPr>
        <w:t>■ 地面效应</w:t>
      </w:r>
    </w:p>
    <w:p w14:paraId="269951DE">
      <w:pPr>
        <w:rPr>
          <w:bCs/>
        </w:rPr>
      </w:pPr>
      <w:r>
        <w:rPr>
          <w:bCs/>
          <w:color w:val="000000"/>
        </w:rPr>
        <w:t xml:space="preserve">  地面高度：0 米</w:t>
      </w:r>
    </w:p>
    <w:p w14:paraId="20E01CF8">
      <w:pPr>
        <w:rPr>
          <w:bCs/>
        </w:rPr>
      </w:pPr>
      <w:r>
        <w:rPr>
          <w:bCs/>
          <w:color w:val="000000"/>
        </w:rPr>
        <w:t xml:space="preserve">  计算考虑地面效应</w:t>
      </w:r>
    </w:p>
    <w:p w14:paraId="19468B2C">
      <w:pPr>
        <w:rPr>
          <w:bCs/>
        </w:rPr>
      </w:pPr>
      <w:r>
        <w:rPr>
          <w:bCs/>
          <w:color w:val="000000"/>
        </w:rPr>
        <w:t xml:space="preserve">  地面效应计算方法：导则算法</w:t>
      </w:r>
    </w:p>
    <w:p w14:paraId="200907D8">
      <w:pPr>
        <w:rPr>
          <w:bCs/>
        </w:rPr>
      </w:pPr>
    </w:p>
    <w:p w14:paraId="23219159">
      <w:pPr>
        <w:rPr>
          <w:bCs/>
        </w:rPr>
      </w:pPr>
      <w:r>
        <w:rPr>
          <w:bCs/>
          <w:color w:val="000000"/>
        </w:rPr>
        <w:t>■ 噪声反射</w:t>
      </w:r>
    </w:p>
    <w:p w14:paraId="41066CD6">
      <w:pPr>
        <w:rPr>
          <w:bCs/>
        </w:rPr>
      </w:pPr>
      <w:r>
        <w:rPr>
          <w:bCs/>
          <w:color w:val="000000"/>
        </w:rPr>
        <w:t xml:space="preserve">  障碍物考虑的最大反射次数：1</w:t>
      </w:r>
    </w:p>
    <w:p w14:paraId="3A527DA0">
      <w:pPr>
        <w:rPr>
          <w:bCs/>
        </w:rPr>
      </w:pPr>
    </w:p>
    <w:p w14:paraId="4458322E">
      <w:pPr>
        <w:rPr>
          <w:bCs/>
        </w:rPr>
      </w:pPr>
      <w:r>
        <w:rPr>
          <w:bCs/>
          <w:color w:val="000000"/>
        </w:rPr>
        <w:t>■ 空气吸收</w:t>
      </w:r>
    </w:p>
    <w:p w14:paraId="3930C209">
      <w:pPr>
        <w:rPr>
          <w:bCs/>
        </w:rPr>
      </w:pPr>
      <w:r>
        <w:rPr>
          <w:bCs/>
          <w:color w:val="000000"/>
        </w:rPr>
        <w:t xml:space="preserve">  气压：101325Pa  气温：16℃  湿度：50%</w:t>
      </w:r>
    </w:p>
    <w:p w14:paraId="1B180A1E">
      <w:pPr>
        <w:rPr>
          <w:bCs/>
        </w:rPr>
      </w:pPr>
    </w:p>
    <w:p w14:paraId="6EEC4E2B">
      <w:pPr>
        <w:rPr>
          <w:bCs/>
        </w:rPr>
      </w:pPr>
      <w:r>
        <w:rPr>
          <w:bCs/>
          <w:color w:val="000000"/>
        </w:rPr>
        <w:t>■ 达标统计</w:t>
      </w:r>
    </w:p>
    <w:p w14:paraId="2F15938A">
      <w:pPr>
        <w:rPr>
          <w:bCs/>
        </w:rPr>
      </w:pPr>
      <w:r>
        <w:rPr>
          <w:bCs/>
          <w:color w:val="000000"/>
        </w:rPr>
        <w:t xml:space="preserve">  建筑物噪声最大值统计方式</w:t>
      </w:r>
    </w:p>
    <w:p w14:paraId="7042E8DE">
      <w:pPr>
        <w:rPr>
          <w:bCs/>
        </w:rPr>
      </w:pPr>
      <w:r>
        <w:rPr>
          <w:bCs/>
          <w:color w:val="000000"/>
        </w:rPr>
        <w:t xml:space="preserve">    取距离建筑物底标高1.5米沿线点</w:t>
      </w:r>
    </w:p>
    <w:p w14:paraId="1260A9FE">
      <w:pPr>
        <w:rPr>
          <w:bCs/>
        </w:rPr>
      </w:pPr>
      <w:r>
        <w:rPr>
          <w:bCs/>
          <w:color w:val="000000"/>
        </w:rPr>
        <w:t xml:space="preserve">  场地环境噪声达标统计方式</w:t>
      </w:r>
    </w:p>
    <w:p w14:paraId="6E67B837">
      <w:pPr>
        <w:rPr>
          <w:bCs/>
        </w:rPr>
      </w:pPr>
      <w:r>
        <w:rPr>
          <w:bCs/>
          <w:color w:val="000000"/>
        </w:rPr>
        <w:t xml:space="preserve">    场地内命名参评建筑物全部达标</w:t>
      </w:r>
    </w:p>
    <w:bookmarkEnd w:id="35"/>
    <w:p w14:paraId="0DE89AB0">
      <w:pPr>
        <w:pStyle w:val="3"/>
        <w:rPr>
          <w:sz w:val="24"/>
          <w:szCs w:val="24"/>
        </w:rPr>
      </w:pPr>
      <w:bookmarkStart w:id="36" w:name="_Toc6349"/>
      <w:bookmarkStart w:id="37" w:name="_Toc479326726"/>
      <w:r>
        <w:rPr>
          <w:rFonts w:hint="eastAsia"/>
          <w:sz w:val="24"/>
          <w:szCs w:val="24"/>
        </w:rPr>
        <w:t>3.</w:t>
      </w:r>
      <w:r>
        <w:rPr>
          <w:sz w:val="24"/>
          <w:szCs w:val="24"/>
        </w:rPr>
        <w:t>4</w:t>
      </w:r>
      <w:r>
        <w:rPr>
          <w:rFonts w:hint="eastAsia"/>
          <w:sz w:val="24"/>
          <w:szCs w:val="24"/>
        </w:rPr>
        <w:t>参数</w:t>
      </w:r>
      <w:r>
        <w:rPr>
          <w:sz w:val="24"/>
          <w:szCs w:val="24"/>
        </w:rPr>
        <w:t>设置</w:t>
      </w:r>
      <w:bookmarkEnd w:id="36"/>
      <w:bookmarkEnd w:id="37"/>
    </w:p>
    <w:p w14:paraId="53E03DBC">
      <w:pPr>
        <w:spacing w:line="276" w:lineRule="auto"/>
        <w:ind w:firstLine="420"/>
      </w:pPr>
      <w:r>
        <w:rPr>
          <w:rFonts w:hint="eastAsia"/>
        </w:rPr>
        <w:t>建筑室外场地噪声目前主要的噪声源为交通噪声，根据项目实际情况还可能考虑周边环境中工业噪声源等。本项目参与计算的噪声源如下表所示，需要指出，噪声源表中的车速、车流量等数据由客户按照项目实际情况设定。</w:t>
      </w:r>
    </w:p>
    <w:p w14:paraId="6FA8E277">
      <w:pPr>
        <w:spacing w:line="276" w:lineRule="auto"/>
        <w:jc w:val="center"/>
      </w:pPr>
      <w:bookmarkStart w:id="38" w:name="声源表"/>
      <w:bookmarkEnd w:id="38"/>
      <w:r>
        <w:rPr>
          <w:sz w:val="21"/>
          <w:szCs w:val="21"/>
        </w:rPr>
        <w:tab/>
      </w:r>
      <w:r>
        <w:rPr>
          <w:sz w:val="21"/>
          <w:szCs w:val="21"/>
        </w:rPr>
        <w:tab/>
      </w:r>
      <w:r>
        <w:rPr>
          <w:sz w:val="21"/>
          <w:szCs w:val="21"/>
        </w:rPr>
        <w:tab/>
      </w:r>
      <w:r>
        <w:rPr>
          <w:sz w:val="21"/>
          <w:szCs w:val="21"/>
        </w:rPr>
        <w:tab/>
      </w:r>
      <w:r>
        <w:rPr>
          <w:sz w:val="21"/>
          <w:szCs w:val="21"/>
        </w:rPr>
        <w:tab/>
      </w:r>
      <w:r>
        <w:rPr>
          <w:sz w:val="21"/>
          <w:szCs w:val="21"/>
        </w:rPr>
        <w:tab/>
      </w:r>
      <w:r>
        <w:rPr>
          <w:sz w:val="21"/>
          <w:szCs w:val="21"/>
        </w:rPr>
        <w:t>表3.4-1 公路噪声源</w:t>
      </w:r>
      <w:r>
        <w:rPr>
          <w:sz w:val="21"/>
          <w:szCs w:val="21"/>
        </w:rPr>
        <w:tab/>
      </w:r>
      <w:r>
        <w:rPr>
          <w:sz w:val="21"/>
          <w:szCs w:val="21"/>
        </w:rPr>
        <w:tab/>
      </w:r>
      <w:r>
        <w:rPr>
          <w:sz w:val="21"/>
          <w:szCs w:val="21"/>
        </w:rPr>
        <w:tab/>
      </w:r>
      <w:r>
        <w:rPr>
          <w:sz w:val="21"/>
          <w:szCs w:val="21"/>
        </w:rPr>
        <w:t xml:space="preserve">           单位：dB(A)</w:t>
      </w:r>
    </w:p>
    <w:tbl>
      <w:tblPr>
        <w:tblStyle w:val="15"/>
        <w:tblW w:w="8263"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924"/>
        <w:gridCol w:w="848"/>
        <w:gridCol w:w="848"/>
        <w:gridCol w:w="848"/>
        <w:gridCol w:w="1075"/>
        <w:gridCol w:w="905"/>
        <w:gridCol w:w="905"/>
        <w:gridCol w:w="905"/>
      </w:tblGrid>
      <w:tr w14:paraId="2108B6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58E4700C">
            <w:pPr>
              <w:jc w:val="center"/>
            </w:pPr>
            <w:r>
              <w:t>路段名称</w:t>
            </w:r>
          </w:p>
        </w:tc>
        <w:tc>
          <w:tcPr>
            <w:shd w:val="clear" w:color="auto" w:fill="E6E6E6"/>
            <w:vAlign w:val="center"/>
          </w:tcPr>
          <w:p w14:paraId="1438AAC9">
            <w:pPr>
              <w:jc w:val="center"/>
            </w:pPr>
            <w:r>
              <w:t>路面</w:t>
            </w:r>
            <w:r>
              <w:br w:type="textWrapping"/>
            </w:r>
            <w:r>
              <w:t>材料</w:t>
            </w:r>
          </w:p>
        </w:tc>
        <w:tc>
          <w:tcPr>
            <w:shd w:val="clear" w:color="auto" w:fill="E6E6E6"/>
            <w:vAlign w:val="center"/>
          </w:tcPr>
          <w:p w14:paraId="7615D872">
            <w:pPr>
              <w:jc w:val="center"/>
            </w:pPr>
            <w:r>
              <w:t>车道</w:t>
            </w:r>
            <w:r>
              <w:br w:type="textWrapping"/>
            </w:r>
            <w:r>
              <w:t>数量</w:t>
            </w:r>
          </w:p>
        </w:tc>
        <w:tc>
          <w:tcPr>
            <w:shd w:val="clear" w:color="auto" w:fill="E6E6E6"/>
            <w:vAlign w:val="center"/>
          </w:tcPr>
          <w:p w14:paraId="18EF5752">
            <w:pPr>
              <w:jc w:val="center"/>
            </w:pPr>
            <w:r>
              <w:t>时段</w:t>
            </w:r>
          </w:p>
        </w:tc>
        <w:tc>
          <w:tcPr>
            <w:shd w:val="clear" w:color="auto" w:fill="E6E6E6"/>
            <w:vAlign w:val="center"/>
          </w:tcPr>
          <w:p w14:paraId="5D2C0BB7">
            <w:pPr>
              <w:jc w:val="center"/>
            </w:pPr>
            <w:r>
              <w:t>设计车速</w:t>
            </w:r>
            <w:r>
              <w:br w:type="textWrapping"/>
            </w:r>
            <w:r>
              <w:t>km/h</w:t>
            </w:r>
          </w:p>
        </w:tc>
        <w:tc>
          <w:tcPr>
            <w:shd w:val="clear" w:color="auto" w:fill="E6E6E6"/>
            <w:vAlign w:val="center"/>
          </w:tcPr>
          <w:p w14:paraId="46DC6C88">
            <w:pPr>
              <w:jc w:val="center"/>
            </w:pPr>
            <w:r>
              <w:t>小型车</w:t>
            </w:r>
            <w:r>
              <w:br w:type="textWrapping"/>
            </w:r>
            <w:r>
              <w:t>辆/h</w:t>
            </w:r>
          </w:p>
        </w:tc>
        <w:tc>
          <w:tcPr>
            <w:shd w:val="clear" w:color="auto" w:fill="E6E6E6"/>
            <w:vAlign w:val="center"/>
          </w:tcPr>
          <w:p w14:paraId="54325D3A">
            <w:pPr>
              <w:jc w:val="center"/>
            </w:pPr>
            <w:r>
              <w:t>中型车</w:t>
            </w:r>
            <w:r>
              <w:br w:type="textWrapping"/>
            </w:r>
            <w:r>
              <w:t>辆/h</w:t>
            </w:r>
          </w:p>
        </w:tc>
        <w:tc>
          <w:tcPr>
            <w:shd w:val="clear" w:color="auto" w:fill="E6E6E6"/>
            <w:vAlign w:val="center"/>
          </w:tcPr>
          <w:p w14:paraId="4A163CD2">
            <w:pPr>
              <w:jc w:val="center"/>
            </w:pPr>
            <w:r>
              <w:t>大型车</w:t>
            </w:r>
            <w:r>
              <w:br w:type="textWrapping"/>
            </w:r>
            <w:r>
              <w:t>辆/h</w:t>
            </w:r>
          </w:p>
        </w:tc>
      </w:tr>
      <w:tr w14:paraId="2D1292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7BA0DF5B">
            <w:pPr>
              <w:jc w:val="center"/>
            </w:pPr>
            <w:r>
              <w:t>公路</w:t>
            </w:r>
          </w:p>
        </w:tc>
        <w:tc>
          <w:tcPr>
            <w:vMerge w:val="restart"/>
            <w:vAlign w:val="center"/>
          </w:tcPr>
          <w:p w14:paraId="79F12514">
            <w:pPr>
              <w:jc w:val="center"/>
            </w:pPr>
            <w:r>
              <w:t>沥青</w:t>
            </w:r>
            <w:r>
              <w:br w:type="textWrapping"/>
            </w:r>
            <w:r>
              <w:t>混凝土</w:t>
            </w:r>
          </w:p>
        </w:tc>
        <w:tc>
          <w:tcPr>
            <w:vMerge w:val="restart"/>
            <w:vAlign w:val="center"/>
          </w:tcPr>
          <w:p w14:paraId="605BF957">
            <w:pPr>
              <w:jc w:val="center"/>
            </w:pPr>
            <w:r>
              <w:t>2</w:t>
            </w:r>
          </w:p>
        </w:tc>
        <w:tc>
          <w:tcPr>
            <w:vAlign w:val="center"/>
          </w:tcPr>
          <w:p w14:paraId="21732663">
            <w:pPr>
              <w:jc w:val="center"/>
            </w:pPr>
            <w:r>
              <w:t>昼间</w:t>
            </w:r>
          </w:p>
        </w:tc>
        <w:tc>
          <w:tcPr>
            <w:vAlign w:val="center"/>
          </w:tcPr>
          <w:p w14:paraId="5B885D08">
            <w:pPr>
              <w:jc w:val="center"/>
            </w:pPr>
            <w:r>
              <w:t>60</w:t>
            </w:r>
          </w:p>
        </w:tc>
        <w:tc>
          <w:tcPr>
            <w:vAlign w:val="center"/>
          </w:tcPr>
          <w:p w14:paraId="3467DC7E">
            <w:pPr>
              <w:jc w:val="center"/>
            </w:pPr>
            <w:r>
              <w:t>281</w:t>
            </w:r>
          </w:p>
        </w:tc>
        <w:tc>
          <w:tcPr>
            <w:vAlign w:val="center"/>
          </w:tcPr>
          <w:p w14:paraId="2254ACDD">
            <w:pPr>
              <w:jc w:val="center"/>
            </w:pPr>
            <w:r>
              <w:t>0</w:t>
            </w:r>
          </w:p>
        </w:tc>
        <w:tc>
          <w:tcPr>
            <w:vAlign w:val="center"/>
          </w:tcPr>
          <w:p w14:paraId="407C8D26">
            <w:pPr>
              <w:jc w:val="center"/>
            </w:pPr>
            <w:r>
              <w:t>0</w:t>
            </w:r>
          </w:p>
        </w:tc>
      </w:tr>
      <w:tr w14:paraId="1A5A92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90AE171">
            <w:pPr>
              <w:jc w:val="center"/>
            </w:pPr>
          </w:p>
        </w:tc>
        <w:tc>
          <w:tcPr>
            <w:vMerge w:val="continue"/>
            <w:vAlign w:val="center"/>
          </w:tcPr>
          <w:p w14:paraId="51FCD5D8">
            <w:pPr>
              <w:jc w:val="center"/>
            </w:pPr>
          </w:p>
        </w:tc>
        <w:tc>
          <w:tcPr>
            <w:vMerge w:val="continue"/>
            <w:vAlign w:val="center"/>
          </w:tcPr>
          <w:p w14:paraId="5DEFAB19">
            <w:pPr>
              <w:jc w:val="center"/>
            </w:pPr>
          </w:p>
        </w:tc>
        <w:tc>
          <w:tcPr>
            <w:vAlign w:val="center"/>
          </w:tcPr>
          <w:p w14:paraId="41173479">
            <w:pPr>
              <w:jc w:val="center"/>
            </w:pPr>
            <w:r>
              <w:t>夜间</w:t>
            </w:r>
          </w:p>
        </w:tc>
        <w:tc>
          <w:tcPr>
            <w:vAlign w:val="center"/>
          </w:tcPr>
          <w:p w14:paraId="4A7F5BE7">
            <w:pPr>
              <w:jc w:val="center"/>
            </w:pPr>
            <w:r>
              <w:t>60</w:t>
            </w:r>
          </w:p>
        </w:tc>
        <w:tc>
          <w:tcPr>
            <w:vAlign w:val="center"/>
          </w:tcPr>
          <w:p w14:paraId="00222A5D">
            <w:pPr>
              <w:jc w:val="center"/>
            </w:pPr>
            <w:r>
              <w:t>63</w:t>
            </w:r>
          </w:p>
        </w:tc>
        <w:tc>
          <w:tcPr>
            <w:vAlign w:val="center"/>
          </w:tcPr>
          <w:p w14:paraId="33AA9198">
            <w:pPr>
              <w:jc w:val="center"/>
            </w:pPr>
            <w:r>
              <w:t>0</w:t>
            </w:r>
          </w:p>
        </w:tc>
        <w:tc>
          <w:tcPr>
            <w:vAlign w:val="center"/>
          </w:tcPr>
          <w:p w14:paraId="00817689">
            <w:pPr>
              <w:jc w:val="center"/>
            </w:pPr>
            <w:r>
              <w:t>0</w:t>
            </w:r>
          </w:p>
        </w:tc>
      </w:tr>
      <w:tr w14:paraId="735791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112439EF">
            <w:pPr>
              <w:jc w:val="center"/>
            </w:pPr>
            <w:r>
              <w:t>公路</w:t>
            </w:r>
          </w:p>
        </w:tc>
        <w:tc>
          <w:tcPr>
            <w:vMerge w:val="restart"/>
            <w:vAlign w:val="center"/>
          </w:tcPr>
          <w:p w14:paraId="2AB9C11E">
            <w:pPr>
              <w:jc w:val="center"/>
            </w:pPr>
            <w:r>
              <w:t>沥青</w:t>
            </w:r>
            <w:r>
              <w:br w:type="textWrapping"/>
            </w:r>
            <w:r>
              <w:t>混凝土</w:t>
            </w:r>
          </w:p>
        </w:tc>
        <w:tc>
          <w:tcPr>
            <w:vMerge w:val="restart"/>
            <w:vAlign w:val="center"/>
          </w:tcPr>
          <w:p w14:paraId="06EDA47C">
            <w:pPr>
              <w:jc w:val="center"/>
            </w:pPr>
            <w:r>
              <w:t>2</w:t>
            </w:r>
          </w:p>
        </w:tc>
        <w:tc>
          <w:tcPr>
            <w:vAlign w:val="center"/>
          </w:tcPr>
          <w:p w14:paraId="45AB570D">
            <w:pPr>
              <w:jc w:val="center"/>
            </w:pPr>
            <w:r>
              <w:t>昼间</w:t>
            </w:r>
          </w:p>
        </w:tc>
        <w:tc>
          <w:tcPr>
            <w:vAlign w:val="center"/>
          </w:tcPr>
          <w:p w14:paraId="7874408F">
            <w:pPr>
              <w:jc w:val="center"/>
            </w:pPr>
            <w:r>
              <w:t>60</w:t>
            </w:r>
          </w:p>
        </w:tc>
        <w:tc>
          <w:tcPr>
            <w:vAlign w:val="center"/>
          </w:tcPr>
          <w:p w14:paraId="3515AF78">
            <w:pPr>
              <w:jc w:val="center"/>
            </w:pPr>
            <w:r>
              <w:t>281</w:t>
            </w:r>
          </w:p>
        </w:tc>
        <w:tc>
          <w:tcPr>
            <w:vAlign w:val="center"/>
          </w:tcPr>
          <w:p w14:paraId="046010FE">
            <w:pPr>
              <w:jc w:val="center"/>
            </w:pPr>
            <w:r>
              <w:t>0</w:t>
            </w:r>
          </w:p>
        </w:tc>
        <w:tc>
          <w:tcPr>
            <w:vAlign w:val="center"/>
          </w:tcPr>
          <w:p w14:paraId="19757939">
            <w:pPr>
              <w:jc w:val="center"/>
            </w:pPr>
            <w:r>
              <w:t>0</w:t>
            </w:r>
          </w:p>
        </w:tc>
      </w:tr>
      <w:tr w14:paraId="4650C5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6120A29">
            <w:pPr>
              <w:jc w:val="center"/>
            </w:pPr>
          </w:p>
        </w:tc>
        <w:tc>
          <w:tcPr>
            <w:vMerge w:val="continue"/>
            <w:vAlign w:val="center"/>
          </w:tcPr>
          <w:p w14:paraId="64B34124">
            <w:pPr>
              <w:jc w:val="center"/>
            </w:pPr>
          </w:p>
        </w:tc>
        <w:tc>
          <w:tcPr>
            <w:vMerge w:val="continue"/>
            <w:vAlign w:val="center"/>
          </w:tcPr>
          <w:p w14:paraId="084879CF">
            <w:pPr>
              <w:jc w:val="center"/>
            </w:pPr>
          </w:p>
        </w:tc>
        <w:tc>
          <w:tcPr>
            <w:vAlign w:val="center"/>
          </w:tcPr>
          <w:p w14:paraId="0958F45F">
            <w:pPr>
              <w:jc w:val="center"/>
            </w:pPr>
            <w:r>
              <w:t>夜间</w:t>
            </w:r>
          </w:p>
        </w:tc>
        <w:tc>
          <w:tcPr>
            <w:vAlign w:val="center"/>
          </w:tcPr>
          <w:p w14:paraId="4783F342">
            <w:pPr>
              <w:jc w:val="center"/>
            </w:pPr>
            <w:r>
              <w:t>60</w:t>
            </w:r>
          </w:p>
        </w:tc>
        <w:tc>
          <w:tcPr>
            <w:vAlign w:val="center"/>
          </w:tcPr>
          <w:p w14:paraId="061B412B">
            <w:pPr>
              <w:jc w:val="center"/>
            </w:pPr>
            <w:r>
              <w:t>63</w:t>
            </w:r>
          </w:p>
        </w:tc>
        <w:tc>
          <w:tcPr>
            <w:vAlign w:val="center"/>
          </w:tcPr>
          <w:p w14:paraId="284E9901">
            <w:pPr>
              <w:jc w:val="center"/>
            </w:pPr>
            <w:r>
              <w:t>0</w:t>
            </w:r>
          </w:p>
        </w:tc>
        <w:tc>
          <w:tcPr>
            <w:vAlign w:val="center"/>
          </w:tcPr>
          <w:p w14:paraId="3A7B52FF">
            <w:pPr>
              <w:jc w:val="center"/>
            </w:pPr>
            <w:r>
              <w:t>0</w:t>
            </w:r>
          </w:p>
        </w:tc>
      </w:tr>
      <w:tr w14:paraId="3EF468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3BD99C89">
            <w:pPr>
              <w:jc w:val="center"/>
            </w:pPr>
            <w:r>
              <w:t>公路</w:t>
            </w:r>
          </w:p>
        </w:tc>
        <w:tc>
          <w:tcPr>
            <w:vMerge w:val="restart"/>
            <w:vAlign w:val="center"/>
          </w:tcPr>
          <w:p w14:paraId="48A253C8">
            <w:pPr>
              <w:jc w:val="center"/>
            </w:pPr>
            <w:r>
              <w:t>沥青</w:t>
            </w:r>
            <w:r>
              <w:br w:type="textWrapping"/>
            </w:r>
            <w:r>
              <w:t>混凝土</w:t>
            </w:r>
          </w:p>
        </w:tc>
        <w:tc>
          <w:tcPr>
            <w:vMerge w:val="restart"/>
            <w:vAlign w:val="center"/>
          </w:tcPr>
          <w:p w14:paraId="32579FDD">
            <w:pPr>
              <w:jc w:val="center"/>
            </w:pPr>
            <w:r>
              <w:t>2</w:t>
            </w:r>
          </w:p>
        </w:tc>
        <w:tc>
          <w:tcPr>
            <w:vAlign w:val="center"/>
          </w:tcPr>
          <w:p w14:paraId="4FCD9CB3">
            <w:pPr>
              <w:jc w:val="center"/>
            </w:pPr>
            <w:r>
              <w:t>昼间</w:t>
            </w:r>
          </w:p>
        </w:tc>
        <w:tc>
          <w:tcPr>
            <w:vAlign w:val="center"/>
          </w:tcPr>
          <w:p w14:paraId="0F3E89E6">
            <w:pPr>
              <w:jc w:val="center"/>
            </w:pPr>
            <w:r>
              <w:t>60</w:t>
            </w:r>
          </w:p>
        </w:tc>
        <w:tc>
          <w:tcPr>
            <w:vAlign w:val="center"/>
          </w:tcPr>
          <w:p w14:paraId="74E53DFE">
            <w:pPr>
              <w:jc w:val="center"/>
            </w:pPr>
            <w:r>
              <w:t>281</w:t>
            </w:r>
          </w:p>
        </w:tc>
        <w:tc>
          <w:tcPr>
            <w:vAlign w:val="center"/>
          </w:tcPr>
          <w:p w14:paraId="4EFC92ED">
            <w:pPr>
              <w:jc w:val="center"/>
            </w:pPr>
            <w:r>
              <w:t>0</w:t>
            </w:r>
          </w:p>
        </w:tc>
        <w:tc>
          <w:tcPr>
            <w:vAlign w:val="center"/>
          </w:tcPr>
          <w:p w14:paraId="20A1417A">
            <w:pPr>
              <w:jc w:val="center"/>
            </w:pPr>
            <w:r>
              <w:t>0</w:t>
            </w:r>
          </w:p>
        </w:tc>
      </w:tr>
      <w:tr w14:paraId="64CE15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3DBD67B">
            <w:pPr>
              <w:jc w:val="center"/>
            </w:pPr>
          </w:p>
        </w:tc>
        <w:tc>
          <w:tcPr>
            <w:vMerge w:val="continue"/>
            <w:vAlign w:val="center"/>
          </w:tcPr>
          <w:p w14:paraId="5B4B3A94">
            <w:pPr>
              <w:jc w:val="center"/>
            </w:pPr>
          </w:p>
        </w:tc>
        <w:tc>
          <w:tcPr>
            <w:vMerge w:val="continue"/>
            <w:vAlign w:val="center"/>
          </w:tcPr>
          <w:p w14:paraId="56ABFE21">
            <w:pPr>
              <w:jc w:val="center"/>
            </w:pPr>
          </w:p>
        </w:tc>
        <w:tc>
          <w:tcPr>
            <w:vAlign w:val="center"/>
          </w:tcPr>
          <w:p w14:paraId="3A913711">
            <w:pPr>
              <w:jc w:val="center"/>
            </w:pPr>
            <w:r>
              <w:t>夜间</w:t>
            </w:r>
          </w:p>
        </w:tc>
        <w:tc>
          <w:tcPr>
            <w:vAlign w:val="center"/>
          </w:tcPr>
          <w:p w14:paraId="67FC6897">
            <w:pPr>
              <w:jc w:val="center"/>
            </w:pPr>
            <w:r>
              <w:t>60</w:t>
            </w:r>
          </w:p>
        </w:tc>
        <w:tc>
          <w:tcPr>
            <w:vAlign w:val="center"/>
          </w:tcPr>
          <w:p w14:paraId="0CDF19AD">
            <w:pPr>
              <w:jc w:val="center"/>
            </w:pPr>
            <w:r>
              <w:t>63</w:t>
            </w:r>
          </w:p>
        </w:tc>
        <w:tc>
          <w:tcPr>
            <w:vAlign w:val="center"/>
          </w:tcPr>
          <w:p w14:paraId="3908E7D2">
            <w:pPr>
              <w:jc w:val="center"/>
            </w:pPr>
            <w:r>
              <w:t>0</w:t>
            </w:r>
          </w:p>
        </w:tc>
        <w:tc>
          <w:tcPr>
            <w:vAlign w:val="center"/>
          </w:tcPr>
          <w:p w14:paraId="7B67D2DB">
            <w:pPr>
              <w:jc w:val="center"/>
            </w:pPr>
            <w:r>
              <w:t>0</w:t>
            </w:r>
          </w:p>
        </w:tc>
      </w:tr>
      <w:tr w14:paraId="479BA2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346E6A48">
            <w:pPr>
              <w:jc w:val="center"/>
            </w:pPr>
            <w:r>
              <w:t>公路</w:t>
            </w:r>
          </w:p>
        </w:tc>
        <w:tc>
          <w:tcPr>
            <w:vMerge w:val="restart"/>
            <w:vAlign w:val="center"/>
          </w:tcPr>
          <w:p w14:paraId="570D6E9B">
            <w:pPr>
              <w:jc w:val="center"/>
            </w:pPr>
            <w:r>
              <w:t>沥青</w:t>
            </w:r>
            <w:r>
              <w:br w:type="textWrapping"/>
            </w:r>
            <w:r>
              <w:t>混凝土</w:t>
            </w:r>
          </w:p>
        </w:tc>
        <w:tc>
          <w:tcPr>
            <w:vMerge w:val="restart"/>
            <w:vAlign w:val="center"/>
          </w:tcPr>
          <w:p w14:paraId="36C29B11">
            <w:pPr>
              <w:jc w:val="center"/>
            </w:pPr>
            <w:r>
              <w:t>2</w:t>
            </w:r>
          </w:p>
        </w:tc>
        <w:tc>
          <w:tcPr>
            <w:vAlign w:val="center"/>
          </w:tcPr>
          <w:p w14:paraId="29A2D6AE">
            <w:pPr>
              <w:jc w:val="center"/>
            </w:pPr>
            <w:r>
              <w:t>昼间</w:t>
            </w:r>
          </w:p>
        </w:tc>
        <w:tc>
          <w:tcPr>
            <w:vAlign w:val="center"/>
          </w:tcPr>
          <w:p w14:paraId="124DDC50">
            <w:pPr>
              <w:jc w:val="center"/>
            </w:pPr>
            <w:r>
              <w:t>60</w:t>
            </w:r>
          </w:p>
        </w:tc>
        <w:tc>
          <w:tcPr>
            <w:vAlign w:val="center"/>
          </w:tcPr>
          <w:p w14:paraId="7743AA7D">
            <w:pPr>
              <w:jc w:val="center"/>
            </w:pPr>
            <w:r>
              <w:t>281</w:t>
            </w:r>
          </w:p>
        </w:tc>
        <w:tc>
          <w:tcPr>
            <w:vAlign w:val="center"/>
          </w:tcPr>
          <w:p w14:paraId="5CEF36FA">
            <w:pPr>
              <w:jc w:val="center"/>
            </w:pPr>
            <w:r>
              <w:t>0</w:t>
            </w:r>
          </w:p>
        </w:tc>
        <w:tc>
          <w:tcPr>
            <w:vAlign w:val="center"/>
          </w:tcPr>
          <w:p w14:paraId="41FA10D6">
            <w:pPr>
              <w:jc w:val="center"/>
            </w:pPr>
            <w:r>
              <w:t>0</w:t>
            </w:r>
          </w:p>
        </w:tc>
      </w:tr>
      <w:tr w14:paraId="1C758E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C29B0AF">
            <w:pPr>
              <w:jc w:val="center"/>
            </w:pPr>
          </w:p>
        </w:tc>
        <w:tc>
          <w:tcPr>
            <w:vMerge w:val="continue"/>
            <w:vAlign w:val="center"/>
          </w:tcPr>
          <w:p w14:paraId="4391E0D3">
            <w:pPr>
              <w:jc w:val="center"/>
            </w:pPr>
          </w:p>
        </w:tc>
        <w:tc>
          <w:tcPr>
            <w:vMerge w:val="continue"/>
            <w:vAlign w:val="center"/>
          </w:tcPr>
          <w:p w14:paraId="336EADAA">
            <w:pPr>
              <w:jc w:val="center"/>
            </w:pPr>
          </w:p>
        </w:tc>
        <w:tc>
          <w:tcPr>
            <w:vAlign w:val="center"/>
          </w:tcPr>
          <w:p w14:paraId="76DA428D">
            <w:pPr>
              <w:jc w:val="center"/>
            </w:pPr>
            <w:r>
              <w:t>夜间</w:t>
            </w:r>
          </w:p>
        </w:tc>
        <w:tc>
          <w:tcPr>
            <w:vAlign w:val="center"/>
          </w:tcPr>
          <w:p w14:paraId="6D8AED42">
            <w:pPr>
              <w:jc w:val="center"/>
            </w:pPr>
            <w:r>
              <w:t>60</w:t>
            </w:r>
          </w:p>
        </w:tc>
        <w:tc>
          <w:tcPr>
            <w:vAlign w:val="center"/>
          </w:tcPr>
          <w:p w14:paraId="581B9665">
            <w:pPr>
              <w:jc w:val="center"/>
            </w:pPr>
            <w:r>
              <w:t>63</w:t>
            </w:r>
          </w:p>
        </w:tc>
        <w:tc>
          <w:tcPr>
            <w:vAlign w:val="center"/>
          </w:tcPr>
          <w:p w14:paraId="71D9150D">
            <w:pPr>
              <w:jc w:val="center"/>
            </w:pPr>
            <w:r>
              <w:t>0</w:t>
            </w:r>
          </w:p>
        </w:tc>
        <w:tc>
          <w:tcPr>
            <w:vAlign w:val="center"/>
          </w:tcPr>
          <w:p w14:paraId="13F7C882">
            <w:pPr>
              <w:jc w:val="center"/>
            </w:pPr>
            <w:r>
              <w:t>0</w:t>
            </w:r>
          </w:p>
        </w:tc>
      </w:tr>
      <w:tr w14:paraId="4CCB35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58981DDA">
            <w:pPr>
              <w:jc w:val="center"/>
            </w:pPr>
            <w:r>
              <w:t>公路</w:t>
            </w:r>
          </w:p>
        </w:tc>
        <w:tc>
          <w:tcPr>
            <w:vMerge w:val="restart"/>
            <w:vAlign w:val="center"/>
          </w:tcPr>
          <w:p w14:paraId="6BBA50DF">
            <w:pPr>
              <w:jc w:val="center"/>
            </w:pPr>
            <w:r>
              <w:t>沥青</w:t>
            </w:r>
            <w:r>
              <w:br w:type="textWrapping"/>
            </w:r>
            <w:r>
              <w:t>混凝土</w:t>
            </w:r>
          </w:p>
        </w:tc>
        <w:tc>
          <w:tcPr>
            <w:vMerge w:val="restart"/>
            <w:vAlign w:val="center"/>
          </w:tcPr>
          <w:p w14:paraId="1765FC41">
            <w:pPr>
              <w:jc w:val="center"/>
            </w:pPr>
            <w:r>
              <w:t>2</w:t>
            </w:r>
          </w:p>
        </w:tc>
        <w:tc>
          <w:tcPr>
            <w:vAlign w:val="center"/>
          </w:tcPr>
          <w:p w14:paraId="7896DB5B">
            <w:pPr>
              <w:jc w:val="center"/>
            </w:pPr>
            <w:r>
              <w:t>昼间</w:t>
            </w:r>
          </w:p>
        </w:tc>
        <w:tc>
          <w:tcPr>
            <w:vAlign w:val="center"/>
          </w:tcPr>
          <w:p w14:paraId="7C6DE758">
            <w:pPr>
              <w:jc w:val="center"/>
            </w:pPr>
            <w:r>
              <w:t>60</w:t>
            </w:r>
          </w:p>
        </w:tc>
        <w:tc>
          <w:tcPr>
            <w:vAlign w:val="center"/>
          </w:tcPr>
          <w:p w14:paraId="50A1E958">
            <w:pPr>
              <w:jc w:val="center"/>
            </w:pPr>
            <w:r>
              <w:t>281</w:t>
            </w:r>
          </w:p>
        </w:tc>
        <w:tc>
          <w:tcPr>
            <w:vAlign w:val="center"/>
          </w:tcPr>
          <w:p w14:paraId="11C57D8C">
            <w:pPr>
              <w:jc w:val="center"/>
            </w:pPr>
            <w:r>
              <w:t>50</w:t>
            </w:r>
          </w:p>
        </w:tc>
        <w:tc>
          <w:tcPr>
            <w:vAlign w:val="center"/>
          </w:tcPr>
          <w:p w14:paraId="2E91F2E7">
            <w:pPr>
              <w:jc w:val="center"/>
            </w:pPr>
            <w:r>
              <w:t>0</w:t>
            </w:r>
          </w:p>
        </w:tc>
      </w:tr>
      <w:tr w14:paraId="55DA39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302DFD0">
            <w:pPr>
              <w:jc w:val="center"/>
            </w:pPr>
          </w:p>
        </w:tc>
        <w:tc>
          <w:tcPr>
            <w:vMerge w:val="continue"/>
            <w:vAlign w:val="center"/>
          </w:tcPr>
          <w:p w14:paraId="24F69C3D">
            <w:pPr>
              <w:jc w:val="center"/>
            </w:pPr>
          </w:p>
        </w:tc>
        <w:tc>
          <w:tcPr>
            <w:vMerge w:val="continue"/>
            <w:vAlign w:val="center"/>
          </w:tcPr>
          <w:p w14:paraId="7AE3D266">
            <w:pPr>
              <w:jc w:val="center"/>
            </w:pPr>
          </w:p>
        </w:tc>
        <w:tc>
          <w:tcPr>
            <w:vAlign w:val="center"/>
          </w:tcPr>
          <w:p w14:paraId="23EA132D">
            <w:pPr>
              <w:jc w:val="center"/>
            </w:pPr>
            <w:r>
              <w:t>夜间</w:t>
            </w:r>
          </w:p>
        </w:tc>
        <w:tc>
          <w:tcPr>
            <w:vAlign w:val="center"/>
          </w:tcPr>
          <w:p w14:paraId="20A5A855">
            <w:pPr>
              <w:jc w:val="center"/>
            </w:pPr>
            <w:r>
              <w:t>60</w:t>
            </w:r>
          </w:p>
        </w:tc>
        <w:tc>
          <w:tcPr>
            <w:vAlign w:val="center"/>
          </w:tcPr>
          <w:p w14:paraId="343A02BD">
            <w:pPr>
              <w:jc w:val="center"/>
            </w:pPr>
            <w:r>
              <w:t>63</w:t>
            </w:r>
          </w:p>
        </w:tc>
        <w:tc>
          <w:tcPr>
            <w:vAlign w:val="center"/>
          </w:tcPr>
          <w:p w14:paraId="5D728411">
            <w:pPr>
              <w:jc w:val="center"/>
            </w:pPr>
            <w:r>
              <w:t>0</w:t>
            </w:r>
          </w:p>
        </w:tc>
        <w:tc>
          <w:tcPr>
            <w:vAlign w:val="center"/>
          </w:tcPr>
          <w:p w14:paraId="1A85DA0B">
            <w:pPr>
              <w:jc w:val="center"/>
            </w:pPr>
            <w:r>
              <w:t>0</w:t>
            </w:r>
          </w:p>
        </w:tc>
      </w:tr>
    </w:tbl>
    <w:p w14:paraId="2694356A">
      <w:pPr>
        <w:spacing w:line="276" w:lineRule="auto"/>
        <w:jc w:val="center"/>
      </w:pPr>
    </w:p>
    <w:p w14:paraId="5959F7C8">
      <w:pPr>
        <w:pStyle w:val="2"/>
        <w:rPr>
          <w:sz w:val="28"/>
          <w:szCs w:val="28"/>
        </w:rPr>
      </w:pPr>
      <w:bookmarkStart w:id="39" w:name="_Toc479326727"/>
      <w:bookmarkStart w:id="40" w:name="_Toc32054"/>
      <w:r>
        <w:rPr>
          <w:rFonts w:hint="eastAsia"/>
          <w:sz w:val="28"/>
          <w:szCs w:val="28"/>
        </w:rPr>
        <w:t>4.模拟结果</w:t>
      </w:r>
      <w:r>
        <w:rPr>
          <w:sz w:val="28"/>
          <w:szCs w:val="28"/>
        </w:rPr>
        <w:t>及分析</w:t>
      </w:r>
      <w:bookmarkEnd w:id="39"/>
      <w:bookmarkEnd w:id="40"/>
      <w:r>
        <w:rPr>
          <w:rFonts w:hint="eastAsia"/>
          <w:sz w:val="28"/>
          <w:szCs w:val="28"/>
        </w:rPr>
        <w:t xml:space="preserve"> </w:t>
      </w:r>
    </w:p>
    <w:p w14:paraId="6B838699">
      <w:pPr>
        <w:ind w:firstLine="420" w:firstLineChars="200"/>
      </w:pPr>
      <w:bookmarkStart w:id="41" w:name="_Toc479326728"/>
      <w:r>
        <w:rPr>
          <w:rFonts w:hint="eastAsia"/>
        </w:rPr>
        <w:t>经过软件模拟计算，预测出昼间和夜间两种时段下的场地噪声分布情况，包括场地噪声平面分布彩图、参评建筑沿建筑底轮廓线1.5米高度处噪声分布、参评建筑立面噪声级分布等彩色分析图和数据分析图。</w:t>
      </w:r>
    </w:p>
    <w:p w14:paraId="2FCF9EB5">
      <w:pPr>
        <w:pStyle w:val="3"/>
        <w:rPr>
          <w:sz w:val="24"/>
          <w:szCs w:val="24"/>
        </w:rPr>
      </w:pPr>
      <w:bookmarkStart w:id="42" w:name="_Toc24451"/>
      <w:r>
        <w:rPr>
          <w:rFonts w:hint="eastAsia"/>
          <w:sz w:val="24"/>
          <w:szCs w:val="24"/>
        </w:rPr>
        <w:t>4</w:t>
      </w:r>
      <w:r>
        <w:rPr>
          <w:sz w:val="24"/>
          <w:szCs w:val="24"/>
        </w:rPr>
        <w:t>.1</w:t>
      </w:r>
      <w:r>
        <w:rPr>
          <w:rFonts w:hint="eastAsia"/>
          <w:sz w:val="24"/>
          <w:szCs w:val="24"/>
        </w:rPr>
        <w:t>场地</w:t>
      </w:r>
      <w:r>
        <w:rPr>
          <w:sz w:val="24"/>
          <w:szCs w:val="24"/>
        </w:rPr>
        <w:t>噪声</w:t>
      </w:r>
      <w:bookmarkEnd w:id="41"/>
      <w:bookmarkEnd w:id="42"/>
    </w:p>
    <w:p w14:paraId="1D4E236D">
      <w:pPr>
        <w:jc w:val="center"/>
      </w:pPr>
      <w:r>
        <w:drawing>
          <wp:inline distT="0" distB="0" distL="0" distR="0">
            <wp:extent cx="5273675" cy="408940"/>
            <wp:effectExtent l="0" t="0" r="317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74306" cy="409371"/>
                    </a:xfrm>
                    <a:prstGeom prst="rect">
                      <a:avLst/>
                    </a:prstGeom>
                    <a:noFill/>
                    <a:ln>
                      <a:noFill/>
                    </a:ln>
                  </pic:spPr>
                </pic:pic>
              </a:graphicData>
            </a:graphic>
          </wp:inline>
        </w:drawing>
      </w:r>
    </w:p>
    <w:p w14:paraId="711E0898">
      <w:pPr>
        <w:jc w:val="center"/>
      </w:pPr>
    </w:p>
    <w:p w14:paraId="5842C2E6">
      <w:pPr>
        <w:jc w:val="center"/>
        <w:rPr>
          <w:rFonts w:ascii="Times New Roman" w:hAnsi="Times New Roman"/>
        </w:rPr>
      </w:pPr>
      <w:bookmarkStart w:id="43" w:name="场地分布图昼"/>
      <w:bookmarkEnd w:id="43"/>
      <w:r>
        <w:drawing>
          <wp:inline distT="0" distB="0" distL="0" distR="0">
            <wp:extent cx="4451350" cy="4077335"/>
            <wp:effectExtent l="0" t="0" r="6350" b="1841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21"/>
                    <a:stretch>
                      <a:fillRect/>
                    </a:stretch>
                  </pic:blipFill>
                  <pic:spPr>
                    <a:xfrm>
                      <a:off x="0" y="0"/>
                      <a:ext cx="4451350" cy="4077335"/>
                    </a:xfrm>
                    <a:prstGeom prst="rect">
                      <a:avLst/>
                    </a:prstGeom>
                  </pic:spPr>
                </pic:pic>
              </a:graphicData>
            </a:graphic>
          </wp:inline>
        </w:drawing>
      </w:r>
    </w:p>
    <w:p w14:paraId="058A70CA">
      <w:pPr>
        <w:jc w:val="center"/>
        <w:rPr>
          <w:kern w:val="0"/>
          <w:sz w:val="18"/>
          <w:szCs w:val="18"/>
        </w:rPr>
      </w:pPr>
      <w:r>
        <w:rPr>
          <w:rFonts w:hint="eastAsia"/>
          <w:sz w:val="18"/>
          <w:szCs w:val="18"/>
        </w:rPr>
        <w:t>图4.1</w:t>
      </w:r>
      <w:r>
        <w:rPr>
          <w:sz w:val="18"/>
          <w:szCs w:val="18"/>
        </w:rPr>
        <w:t>-1</w:t>
      </w:r>
      <w:r>
        <w:rPr>
          <w:rFonts w:hint="eastAsia"/>
          <w:sz w:val="18"/>
          <w:szCs w:val="18"/>
        </w:rPr>
        <w:t xml:space="preserve"> 场地1.</w:t>
      </w:r>
      <w:r>
        <w:rPr>
          <w:sz w:val="18"/>
          <w:szCs w:val="18"/>
        </w:rPr>
        <w:t>5m高度处</w:t>
      </w:r>
      <w:r>
        <w:rPr>
          <w:rFonts w:hint="eastAsia"/>
          <w:sz w:val="18"/>
          <w:szCs w:val="18"/>
        </w:rPr>
        <w:t>声压级</w:t>
      </w:r>
      <w:r>
        <w:rPr>
          <w:sz w:val="18"/>
          <w:szCs w:val="18"/>
        </w:rPr>
        <w:t>分布图（</w:t>
      </w:r>
      <w:r>
        <w:rPr>
          <w:rFonts w:hint="eastAsia"/>
          <w:sz w:val="18"/>
          <w:szCs w:val="18"/>
        </w:rPr>
        <w:t>昼间</w:t>
      </w:r>
      <w:r>
        <w:rPr>
          <w:sz w:val="18"/>
          <w:szCs w:val="18"/>
        </w:rPr>
        <w:t>）</w:t>
      </w:r>
    </w:p>
    <w:p w14:paraId="6FB7C93D">
      <w:pPr>
        <w:spacing w:before="240"/>
        <w:jc w:val="center"/>
        <w:rPr>
          <w:rFonts w:ascii="Times New Roman" w:hAnsi="Times New Roman"/>
        </w:rPr>
      </w:pPr>
      <w:bookmarkStart w:id="44" w:name="场地分布图夜"/>
      <w:bookmarkEnd w:id="44"/>
      <w:r>
        <w:drawing>
          <wp:inline distT="0" distB="0" distL="0" distR="0">
            <wp:extent cx="4260215" cy="3902710"/>
            <wp:effectExtent l="0" t="0" r="6985" b="254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22"/>
                    <a:stretch>
                      <a:fillRect/>
                    </a:stretch>
                  </pic:blipFill>
                  <pic:spPr>
                    <a:xfrm>
                      <a:off x="0" y="0"/>
                      <a:ext cx="4260215" cy="3902710"/>
                    </a:xfrm>
                    <a:prstGeom prst="rect">
                      <a:avLst/>
                    </a:prstGeom>
                  </pic:spPr>
                </pic:pic>
              </a:graphicData>
            </a:graphic>
          </wp:inline>
        </w:drawing>
      </w:r>
    </w:p>
    <w:p w14:paraId="68B1D3F0">
      <w:pPr>
        <w:jc w:val="center"/>
        <w:rPr>
          <w:kern w:val="0"/>
          <w:sz w:val="18"/>
          <w:szCs w:val="18"/>
        </w:rPr>
      </w:pPr>
      <w:r>
        <w:rPr>
          <w:rFonts w:hint="eastAsia"/>
          <w:sz w:val="18"/>
          <w:szCs w:val="18"/>
        </w:rPr>
        <w:t>图4.1</w:t>
      </w:r>
      <w:r>
        <w:rPr>
          <w:sz w:val="18"/>
          <w:szCs w:val="18"/>
        </w:rPr>
        <w:t xml:space="preserve">-2 </w:t>
      </w:r>
      <w:r>
        <w:rPr>
          <w:rFonts w:hint="eastAsia"/>
          <w:sz w:val="18"/>
          <w:szCs w:val="18"/>
        </w:rPr>
        <w:t>场地1.</w:t>
      </w:r>
      <w:r>
        <w:rPr>
          <w:sz w:val="18"/>
          <w:szCs w:val="18"/>
        </w:rPr>
        <w:t>5m高度处</w:t>
      </w:r>
      <w:r>
        <w:rPr>
          <w:rFonts w:hint="eastAsia"/>
          <w:sz w:val="18"/>
          <w:szCs w:val="18"/>
        </w:rPr>
        <w:t>声压级</w:t>
      </w:r>
      <w:r>
        <w:rPr>
          <w:sz w:val="18"/>
          <w:szCs w:val="18"/>
        </w:rPr>
        <w:t>分布图（</w:t>
      </w:r>
      <w:r>
        <w:rPr>
          <w:rFonts w:hint="eastAsia"/>
          <w:sz w:val="18"/>
          <w:szCs w:val="18"/>
        </w:rPr>
        <w:t>夜间</w:t>
      </w:r>
      <w:r>
        <w:rPr>
          <w:sz w:val="18"/>
          <w:szCs w:val="18"/>
        </w:rPr>
        <w:t>）</w:t>
      </w:r>
    </w:p>
    <w:p w14:paraId="5EB4201B">
      <w:pPr>
        <w:spacing w:before="240"/>
        <w:jc w:val="center"/>
        <w:rPr>
          <w:rFonts w:ascii="Times New Roman" w:hAnsi="Times New Roman"/>
        </w:rPr>
      </w:pPr>
      <w:bookmarkStart w:id="45" w:name="场地噪声分布俯瞰昼"/>
      <w:bookmarkEnd w:id="45"/>
      <w:r>
        <w:drawing>
          <wp:inline distT="0" distB="0" distL="0" distR="0">
            <wp:extent cx="4236720" cy="3881120"/>
            <wp:effectExtent l="0" t="0" r="11430" b="508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23"/>
                    <a:stretch>
                      <a:fillRect/>
                    </a:stretch>
                  </pic:blipFill>
                  <pic:spPr>
                    <a:xfrm>
                      <a:off x="0" y="0"/>
                      <a:ext cx="4236720" cy="3881120"/>
                    </a:xfrm>
                    <a:prstGeom prst="rect">
                      <a:avLst/>
                    </a:prstGeom>
                  </pic:spPr>
                </pic:pic>
              </a:graphicData>
            </a:graphic>
          </wp:inline>
        </w:drawing>
      </w:r>
    </w:p>
    <w:p w14:paraId="358BA23E">
      <w:pPr>
        <w:jc w:val="center"/>
        <w:rPr>
          <w:kern w:val="0"/>
          <w:sz w:val="18"/>
          <w:szCs w:val="18"/>
        </w:rPr>
      </w:pPr>
      <w:r>
        <w:rPr>
          <w:rFonts w:hint="eastAsia"/>
          <w:sz w:val="18"/>
          <w:szCs w:val="18"/>
        </w:rPr>
        <w:t>图4.1</w:t>
      </w:r>
      <w:r>
        <w:rPr>
          <w:sz w:val="18"/>
          <w:szCs w:val="18"/>
        </w:rPr>
        <w:t>-3</w:t>
      </w:r>
      <w:r>
        <w:rPr>
          <w:rFonts w:hint="eastAsia"/>
          <w:sz w:val="18"/>
          <w:szCs w:val="18"/>
        </w:rPr>
        <w:t xml:space="preserve">  场地噪声分布俯瞰图（昼间）</w:t>
      </w:r>
    </w:p>
    <w:p w14:paraId="7AAD22B0">
      <w:pPr>
        <w:widowControl/>
        <w:spacing w:before="240"/>
        <w:jc w:val="center"/>
        <w:rPr>
          <w:rFonts w:ascii="宋体" w:hAnsi="宋体"/>
        </w:rPr>
      </w:pPr>
      <w:bookmarkStart w:id="46" w:name="场地噪声分布俯瞰夜"/>
      <w:bookmarkEnd w:id="46"/>
      <w:r>
        <w:drawing>
          <wp:inline distT="0" distB="0" distL="0" distR="0">
            <wp:extent cx="4048125" cy="3708400"/>
            <wp:effectExtent l="0" t="0" r="9525" b="635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24"/>
                    <a:stretch>
                      <a:fillRect/>
                    </a:stretch>
                  </pic:blipFill>
                  <pic:spPr>
                    <a:xfrm>
                      <a:off x="0" y="0"/>
                      <a:ext cx="4048125" cy="3708400"/>
                    </a:xfrm>
                    <a:prstGeom prst="rect">
                      <a:avLst/>
                    </a:prstGeom>
                  </pic:spPr>
                </pic:pic>
              </a:graphicData>
            </a:graphic>
          </wp:inline>
        </w:drawing>
      </w:r>
    </w:p>
    <w:p w14:paraId="3DCD0446">
      <w:pPr>
        <w:jc w:val="center"/>
        <w:rPr>
          <w:rFonts w:ascii="Times New Roman" w:hAnsi="Times New Roman"/>
          <w:b/>
          <w:color w:val="FF0000"/>
        </w:rPr>
      </w:pPr>
    </w:p>
    <w:p w14:paraId="02386B1A">
      <w:pPr>
        <w:pStyle w:val="3"/>
        <w:rPr>
          <w:sz w:val="24"/>
          <w:szCs w:val="24"/>
        </w:rPr>
      </w:pPr>
      <w:bookmarkStart w:id="47" w:name="_Toc30833"/>
      <w:bookmarkStart w:id="48" w:name="_Toc479326729"/>
      <w:r>
        <w:rPr>
          <w:rFonts w:hint="eastAsia"/>
          <w:sz w:val="24"/>
          <w:szCs w:val="24"/>
        </w:rPr>
        <w:t>4</w:t>
      </w:r>
      <w:r>
        <w:rPr>
          <w:sz w:val="24"/>
          <w:szCs w:val="24"/>
        </w:rPr>
        <w:t>.2</w:t>
      </w:r>
      <w:r>
        <w:rPr>
          <w:rFonts w:hint="eastAsia"/>
          <w:sz w:val="24"/>
          <w:szCs w:val="24"/>
        </w:rPr>
        <w:t>建筑</w:t>
      </w:r>
      <w:r>
        <w:rPr>
          <w:sz w:val="24"/>
          <w:szCs w:val="24"/>
        </w:rPr>
        <w:t>噪声</w:t>
      </w:r>
      <w:bookmarkEnd w:id="47"/>
      <w:bookmarkEnd w:id="48"/>
    </w:p>
    <w:p w14:paraId="497186E8">
      <w:pPr>
        <w:spacing w:line="276" w:lineRule="auto"/>
        <w:ind w:firstLine="420"/>
        <w:rPr>
          <w:rFonts w:ascii="Times New Roman" w:hAnsi="Times New Roman" w:cs="宋体"/>
        </w:rPr>
      </w:pPr>
      <w:r>
        <w:rPr>
          <w:rFonts w:hint="eastAsia" w:ascii="Times New Roman" w:hAnsi="Times New Roman" w:cs="宋体"/>
        </w:rPr>
        <w:t>参评建筑昼间和夜间沿</w:t>
      </w:r>
      <w:r>
        <w:rPr>
          <w:rFonts w:hint="eastAsia" w:cs="宋体"/>
        </w:rPr>
        <w:t>底轮廓线1.5米分析高度</w:t>
      </w:r>
      <w:r>
        <w:rPr>
          <w:rFonts w:hint="eastAsia" w:ascii="Times New Roman" w:hAnsi="Times New Roman" w:cs="宋体"/>
        </w:rPr>
        <w:t>处噪声分布情况，每栋参评建筑物俯视图圆圈内上下两个数字分别表示该建筑的昼间和夜间最大噪声值，红色填充代表该建筑昼间或夜间噪声值至少有一项超过三类声功能区限值，黄色填充代表该建筑物昼间或夜间噪声值均小于等于三类声功能区噪声限值，绿色填充代表该建筑物昼间或夜间噪声值均小于等于二类声功能区噪声限值。</w:t>
      </w:r>
    </w:p>
    <w:p w14:paraId="2351508C">
      <w:pPr>
        <w:spacing w:line="276" w:lineRule="auto"/>
        <w:ind w:firstLine="420"/>
        <w:rPr>
          <w:rFonts w:ascii="Times New Roman" w:hAnsi="Times New Roman" w:cs="宋体"/>
        </w:rPr>
      </w:pPr>
      <w:r>
        <w:rPr>
          <w:rFonts w:hint="eastAsia" w:ascii="Times New Roman" w:hAnsi="Times New Roman" w:cs="宋体"/>
        </w:rPr>
        <w:t>本项目室外昼间和夜间噪声分析及达标情况如下：</w:t>
      </w:r>
    </w:p>
    <w:p w14:paraId="5E7C0800">
      <w:pPr>
        <w:spacing w:before="240"/>
        <w:jc w:val="center"/>
        <w:rPr>
          <w:rFonts w:ascii="Times New Roman" w:hAnsi="Times New Roman"/>
        </w:rPr>
      </w:pPr>
      <w:bookmarkStart w:id="49" w:name="建筑附近声压分布图昼"/>
      <w:bookmarkEnd w:id="49"/>
      <w:r>
        <w:drawing>
          <wp:inline distT="0" distB="0" distL="0" distR="0">
            <wp:extent cx="3408680" cy="2303145"/>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25"/>
                    <a:stretch>
                      <a:fillRect/>
                    </a:stretch>
                  </pic:blipFill>
                  <pic:spPr>
                    <a:xfrm>
                      <a:off x="0" y="0"/>
                      <a:ext cx="3408680" cy="2303145"/>
                    </a:xfrm>
                    <a:prstGeom prst="rect">
                      <a:avLst/>
                    </a:prstGeom>
                  </pic:spPr>
                </pic:pic>
              </a:graphicData>
            </a:graphic>
          </wp:inline>
        </w:drawing>
      </w:r>
    </w:p>
    <w:p w14:paraId="62CEA88D">
      <w:pPr>
        <w:jc w:val="center"/>
        <w:rPr>
          <w:kern w:val="0"/>
          <w:sz w:val="18"/>
          <w:szCs w:val="18"/>
        </w:rPr>
      </w:pPr>
      <w:r>
        <w:rPr>
          <w:rFonts w:hint="eastAsia"/>
          <w:sz w:val="18"/>
          <w:szCs w:val="18"/>
        </w:rPr>
        <w:t>图4.</w:t>
      </w:r>
      <w:r>
        <w:rPr>
          <w:sz w:val="18"/>
          <w:szCs w:val="18"/>
        </w:rPr>
        <w:t>2-1</w:t>
      </w:r>
      <w:r>
        <w:rPr>
          <w:rFonts w:hint="eastAsia"/>
          <w:sz w:val="18"/>
          <w:szCs w:val="18"/>
        </w:rPr>
        <w:t xml:space="preserve"> 参评建筑附近区域</w:t>
      </w:r>
      <w:r>
        <w:rPr>
          <w:sz w:val="18"/>
          <w:szCs w:val="18"/>
        </w:rPr>
        <w:t>1.5m</w:t>
      </w:r>
      <w:r>
        <w:rPr>
          <w:rFonts w:hint="eastAsia"/>
          <w:sz w:val="18"/>
          <w:szCs w:val="18"/>
        </w:rPr>
        <w:t>高度处声压级平面分布图（昼间）</w:t>
      </w:r>
    </w:p>
    <w:p w14:paraId="7C46118A">
      <w:pPr>
        <w:spacing w:before="240"/>
        <w:jc w:val="center"/>
        <w:rPr>
          <w:rFonts w:ascii="Times New Roman" w:hAnsi="Times New Roman"/>
        </w:rPr>
      </w:pPr>
      <w:bookmarkStart w:id="50" w:name="建筑附近声压分布图夜"/>
      <w:bookmarkEnd w:id="50"/>
      <w:r>
        <w:drawing>
          <wp:inline distT="0" distB="0" distL="0" distR="0">
            <wp:extent cx="3676015" cy="248348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26"/>
                    <a:stretch>
                      <a:fillRect/>
                    </a:stretch>
                  </pic:blipFill>
                  <pic:spPr>
                    <a:xfrm>
                      <a:off x="0" y="0"/>
                      <a:ext cx="3676015" cy="2483485"/>
                    </a:xfrm>
                    <a:prstGeom prst="rect">
                      <a:avLst/>
                    </a:prstGeom>
                  </pic:spPr>
                </pic:pic>
              </a:graphicData>
            </a:graphic>
          </wp:inline>
        </w:drawing>
      </w:r>
    </w:p>
    <w:p w14:paraId="62C16B2F">
      <w:pPr>
        <w:jc w:val="center"/>
        <w:rPr>
          <w:kern w:val="0"/>
          <w:sz w:val="18"/>
          <w:szCs w:val="18"/>
        </w:rPr>
      </w:pPr>
      <w:r>
        <w:rPr>
          <w:rFonts w:hint="eastAsia"/>
          <w:sz w:val="18"/>
          <w:szCs w:val="18"/>
        </w:rPr>
        <w:t>图4.</w:t>
      </w:r>
      <w:r>
        <w:rPr>
          <w:sz w:val="18"/>
          <w:szCs w:val="18"/>
        </w:rPr>
        <w:t>2-2</w:t>
      </w:r>
      <w:r>
        <w:rPr>
          <w:rFonts w:hint="eastAsia"/>
          <w:sz w:val="18"/>
          <w:szCs w:val="18"/>
        </w:rPr>
        <w:t xml:space="preserve"> 参评建筑附近区域</w:t>
      </w:r>
      <w:r>
        <w:rPr>
          <w:sz w:val="18"/>
          <w:szCs w:val="18"/>
        </w:rPr>
        <w:t>1.5m</w:t>
      </w:r>
      <w:r>
        <w:rPr>
          <w:rFonts w:hint="eastAsia"/>
          <w:sz w:val="18"/>
          <w:szCs w:val="18"/>
        </w:rPr>
        <w:t>高度处声压级平面分布图（夜间）</w:t>
      </w:r>
    </w:p>
    <w:p w14:paraId="03C3AFAF">
      <w:pPr>
        <w:spacing w:before="240" w:line="276" w:lineRule="auto"/>
        <w:ind w:firstLine="420"/>
      </w:pPr>
      <w:r>
        <w:rPr>
          <w:rFonts w:hint="eastAsia"/>
        </w:rPr>
        <w:t>参评建筑昼间和夜间沿立面噪声分布情况，在每个计算立面上用圆圈标识出该面噪声最大值，昼间和夜间计算情况分别如下：</w:t>
      </w:r>
    </w:p>
    <w:p w14:paraId="053775F0">
      <w:pPr>
        <w:spacing w:before="240"/>
        <w:ind w:firstLine="420"/>
        <w:jc w:val="center"/>
      </w:pPr>
      <w:r>
        <w:drawing>
          <wp:inline distT="0" distB="0" distL="0" distR="0">
            <wp:extent cx="3704590" cy="475615"/>
            <wp:effectExtent l="0" t="0" r="0" b="63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7"/>
                    <a:stretch>
                      <a:fillRect/>
                    </a:stretch>
                  </pic:blipFill>
                  <pic:spPr>
                    <a:xfrm>
                      <a:off x="0" y="0"/>
                      <a:ext cx="3704762" cy="476190"/>
                    </a:xfrm>
                    <a:prstGeom prst="rect">
                      <a:avLst/>
                    </a:prstGeom>
                  </pic:spPr>
                </pic:pic>
              </a:graphicData>
            </a:graphic>
          </wp:inline>
        </w:drawing>
      </w:r>
    </w:p>
    <w:p w14:paraId="3BB435DB">
      <w:pPr>
        <w:widowControl/>
        <w:spacing w:before="240"/>
        <w:jc w:val="center"/>
        <w:rPr>
          <w:rFonts w:ascii="宋体" w:hAnsi="宋体"/>
        </w:rPr>
      </w:pPr>
      <w:bookmarkStart w:id="51" w:name="建筑附近声压分布鸟瞰图昼"/>
      <w:r>
        <w:drawing>
          <wp:inline distT="0" distB="0" distL="0" distR="0">
            <wp:extent cx="5276215" cy="2323465"/>
            <wp:effectExtent l="0" t="0" r="635" b="63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28"/>
                    <a:stretch>
                      <a:fillRect/>
                    </a:stretch>
                  </pic:blipFill>
                  <pic:spPr>
                    <a:xfrm>
                      <a:off x="0" y="0"/>
                      <a:ext cx="5276215" cy="2323465"/>
                    </a:xfrm>
                    <a:prstGeom prst="rect">
                      <a:avLst/>
                    </a:prstGeom>
                  </pic:spPr>
                </pic:pic>
              </a:graphicData>
            </a:graphic>
          </wp:inline>
        </w:drawing>
      </w:r>
    </w:p>
    <w:bookmarkEnd w:id="51"/>
    <w:p w14:paraId="0B82D8D8">
      <w:pPr>
        <w:widowControl/>
        <w:jc w:val="center"/>
        <w:rPr>
          <w:rFonts w:ascii="宋体" w:hAnsi="宋体"/>
        </w:rPr>
      </w:pPr>
    </w:p>
    <w:p w14:paraId="35C5987B">
      <w:pPr>
        <w:jc w:val="center"/>
        <w:rPr>
          <w:kern w:val="0"/>
          <w:sz w:val="18"/>
          <w:szCs w:val="18"/>
        </w:rPr>
      </w:pPr>
      <w:r>
        <w:rPr>
          <w:rFonts w:hint="eastAsia"/>
          <w:sz w:val="18"/>
          <w:szCs w:val="18"/>
        </w:rPr>
        <w:t>图4.</w:t>
      </w:r>
      <w:r>
        <w:rPr>
          <w:sz w:val="18"/>
          <w:szCs w:val="18"/>
        </w:rPr>
        <w:t>2-3</w:t>
      </w:r>
      <w:r>
        <w:rPr>
          <w:rFonts w:hint="eastAsia"/>
          <w:sz w:val="18"/>
          <w:szCs w:val="18"/>
        </w:rPr>
        <w:t xml:space="preserve"> 参评建筑附近区域声压级鸟瞰分布图（昼间）</w:t>
      </w:r>
    </w:p>
    <w:p w14:paraId="7877817E">
      <w:pPr>
        <w:widowControl/>
        <w:jc w:val="center"/>
        <w:rPr>
          <w:rFonts w:ascii="宋体" w:hAnsi="宋体"/>
        </w:rPr>
      </w:pPr>
    </w:p>
    <w:p w14:paraId="1BAFC4AC">
      <w:pPr>
        <w:widowControl/>
        <w:jc w:val="center"/>
        <w:rPr>
          <w:rFonts w:ascii="宋体" w:hAnsi="宋体"/>
        </w:rPr>
      </w:pPr>
      <w:bookmarkStart w:id="52" w:name="建筑附近声压分布鸟瞰图夜"/>
      <w:bookmarkEnd w:id="52"/>
    </w:p>
    <w:p w14:paraId="4118C4BD">
      <w:pPr>
        <w:jc w:val="center"/>
        <w:rPr>
          <w:kern w:val="0"/>
          <w:sz w:val="18"/>
          <w:szCs w:val="18"/>
        </w:rPr>
      </w:pPr>
      <w:r>
        <w:rPr>
          <w:rFonts w:hint="eastAsia"/>
          <w:sz w:val="18"/>
          <w:szCs w:val="18"/>
        </w:rPr>
        <w:t>图4.</w:t>
      </w:r>
      <w:r>
        <w:rPr>
          <w:sz w:val="18"/>
          <w:szCs w:val="18"/>
        </w:rPr>
        <w:t>2-4</w:t>
      </w:r>
      <w:r>
        <w:rPr>
          <w:rFonts w:hint="eastAsia"/>
          <w:sz w:val="18"/>
          <w:szCs w:val="18"/>
        </w:rPr>
        <w:t xml:space="preserve"> 参评建筑附近区域声压级鸟瞰分布图（夜间）</w:t>
      </w:r>
      <w:r>
        <w:drawing>
          <wp:inline distT="0" distB="0" distL="0" distR="0">
            <wp:extent cx="5266690" cy="2319020"/>
            <wp:effectExtent l="0" t="0" r="10160" b="508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29"/>
                    <a:stretch>
                      <a:fillRect/>
                    </a:stretch>
                  </pic:blipFill>
                  <pic:spPr>
                    <a:xfrm>
                      <a:off x="0" y="0"/>
                      <a:ext cx="5266690" cy="2319020"/>
                    </a:xfrm>
                    <a:prstGeom prst="rect">
                      <a:avLst/>
                    </a:prstGeom>
                  </pic:spPr>
                </pic:pic>
              </a:graphicData>
            </a:graphic>
          </wp:inline>
        </w:drawing>
      </w:r>
    </w:p>
    <w:p w14:paraId="37F20F1F">
      <w:pPr>
        <w:widowControl/>
        <w:spacing w:before="240" w:line="276" w:lineRule="auto"/>
        <w:ind w:firstLine="420"/>
        <w:rPr>
          <w:rFonts w:ascii="Times New Roman" w:hAnsi="Times New Roman" w:cs="宋体"/>
        </w:rPr>
      </w:pPr>
      <w:r>
        <w:rPr>
          <w:rFonts w:hint="eastAsia" w:ascii="Times New Roman" w:hAnsi="Times New Roman" w:cs="宋体"/>
        </w:rPr>
        <w:t>综合上述分析，对场地内部每栋噪声敏感建筑物达标情况分别进行了判定统计，本项目内部全部参评建筑达标情况汇总如下：</w:t>
      </w:r>
    </w:p>
    <w:p w14:paraId="5BDF8732">
      <w:pPr>
        <w:jc w:val="center"/>
        <w:rPr>
          <w:sz w:val="18"/>
          <w:szCs w:val="18"/>
        </w:rPr>
      </w:pPr>
      <w:r>
        <w:rPr>
          <w:rFonts w:hint="eastAsia" w:cs="宋体"/>
          <w:sz w:val="18"/>
          <w:szCs w:val="18"/>
        </w:rPr>
        <w:t xml:space="preserve">               </w:t>
      </w:r>
      <w:r>
        <w:rPr>
          <w:rFonts w:cs="宋体"/>
          <w:sz w:val="18"/>
          <w:szCs w:val="18"/>
        </w:rPr>
        <w:t xml:space="preserve">  </w:t>
      </w:r>
      <w:r>
        <w:rPr>
          <w:rFonts w:hint="eastAsia"/>
          <w:kern w:val="0"/>
          <w:sz w:val="18"/>
          <w:szCs w:val="16"/>
        </w:rPr>
        <w:t xml:space="preserve"> </w:t>
      </w:r>
      <w:r>
        <w:rPr>
          <w:kern w:val="0"/>
          <w:sz w:val="18"/>
          <w:szCs w:val="16"/>
        </w:rPr>
        <w:t xml:space="preserve"> </w:t>
      </w:r>
      <w:r>
        <w:t xml:space="preserve">       </w:t>
      </w:r>
      <w:r>
        <w:rPr>
          <w:rFonts w:hint="eastAsia"/>
        </w:rPr>
        <w:t xml:space="preserve"> 表4</w:t>
      </w:r>
      <w:r>
        <w:t xml:space="preserve">.2 </w:t>
      </w:r>
      <w:r>
        <w:rPr>
          <w:rFonts w:hint="eastAsia"/>
        </w:rPr>
        <w:t xml:space="preserve">参评建筑达标统计  </w:t>
      </w:r>
      <w:r>
        <w:t xml:space="preserve">                </w:t>
      </w:r>
      <w:r>
        <w:rPr>
          <w:rFonts w:hint="eastAsia"/>
        </w:rPr>
        <w:t xml:space="preserve">   单位</w:t>
      </w:r>
      <w:r>
        <w:t>：dB(A</w:t>
      </w:r>
      <w:r>
        <w:rPr>
          <w:rFonts w:hint="eastAsia"/>
        </w:rPr>
        <w:t>)</w:t>
      </w:r>
    </w:p>
    <w:tbl>
      <w:tblPr>
        <w:tblStyle w:val="15"/>
        <w:tblW w:w="8263"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2150"/>
        <w:gridCol w:w="848"/>
        <w:gridCol w:w="1301"/>
        <w:gridCol w:w="1301"/>
        <w:gridCol w:w="1301"/>
        <w:gridCol w:w="1358"/>
      </w:tblGrid>
      <w:tr w14:paraId="573CA5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024D5438">
            <w:pPr>
              <w:jc w:val="center"/>
            </w:pPr>
            <w:r>
              <w:t>建筑名称</w:t>
            </w:r>
          </w:p>
        </w:tc>
        <w:tc>
          <w:tcPr>
            <w:shd w:val="clear" w:color="auto" w:fill="E6E6E6"/>
            <w:vAlign w:val="center"/>
          </w:tcPr>
          <w:p w14:paraId="790885D0">
            <w:pPr>
              <w:jc w:val="center"/>
            </w:pPr>
            <w:r>
              <w:t>时段</w:t>
            </w:r>
          </w:p>
        </w:tc>
        <w:tc>
          <w:tcPr>
            <w:shd w:val="clear" w:color="auto" w:fill="E6E6E6"/>
            <w:vAlign w:val="center"/>
          </w:tcPr>
          <w:p w14:paraId="185A242F">
            <w:pPr>
              <w:jc w:val="center"/>
            </w:pPr>
            <w:r>
              <w:t>1.5米高度</w:t>
            </w:r>
            <w:r>
              <w:br w:type="textWrapping"/>
            </w:r>
            <w:r>
              <w:t>噪声最大值</w:t>
            </w:r>
          </w:p>
        </w:tc>
        <w:tc>
          <w:tcPr>
            <w:shd w:val="clear" w:color="auto" w:fill="E6E6E6"/>
            <w:vAlign w:val="center"/>
          </w:tcPr>
          <w:p w14:paraId="67AE3D8D">
            <w:pPr>
              <w:jc w:val="center"/>
            </w:pPr>
            <w:r>
              <w:t>2类</w:t>
            </w:r>
            <w:r>
              <w:br w:type="textWrapping"/>
            </w:r>
            <w:r>
              <w:t>噪声限值</w:t>
            </w:r>
          </w:p>
        </w:tc>
        <w:tc>
          <w:tcPr>
            <w:shd w:val="clear" w:color="auto" w:fill="E6E6E6"/>
            <w:vAlign w:val="center"/>
          </w:tcPr>
          <w:p w14:paraId="1B3243C9">
            <w:pPr>
              <w:jc w:val="center"/>
            </w:pPr>
            <w:r>
              <w:t>3类</w:t>
            </w:r>
            <w:r>
              <w:br w:type="textWrapping"/>
            </w:r>
            <w:r>
              <w:t>噪声限值</w:t>
            </w:r>
          </w:p>
        </w:tc>
        <w:tc>
          <w:tcPr>
            <w:shd w:val="clear" w:color="auto" w:fill="E6E6E6"/>
            <w:vAlign w:val="center"/>
          </w:tcPr>
          <w:p w14:paraId="6CE2E27F">
            <w:pPr>
              <w:jc w:val="center"/>
            </w:pPr>
            <w:r>
              <w:t>得分</w:t>
            </w:r>
            <w:r>
              <w:br w:type="textWrapping"/>
            </w:r>
            <w:r>
              <w:t>情况</w:t>
            </w:r>
          </w:p>
        </w:tc>
      </w:tr>
      <w:tr w14:paraId="678E21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1A1308EB">
            <w:pPr>
              <w:jc w:val="center"/>
            </w:pPr>
            <w:r>
              <w:t>1#</w:t>
            </w:r>
          </w:p>
        </w:tc>
        <w:tc>
          <w:tcPr>
            <w:vAlign w:val="center"/>
          </w:tcPr>
          <w:p w14:paraId="7E9621FC">
            <w:pPr>
              <w:jc w:val="center"/>
            </w:pPr>
            <w:r>
              <w:t>昼间</w:t>
            </w:r>
          </w:p>
        </w:tc>
        <w:tc>
          <w:tcPr>
            <w:vAlign w:val="center"/>
          </w:tcPr>
          <w:p w14:paraId="575CDC45">
            <w:pPr>
              <w:jc w:val="center"/>
            </w:pPr>
            <w:r>
              <w:t>38</w:t>
            </w:r>
          </w:p>
        </w:tc>
        <w:tc>
          <w:tcPr>
            <w:vAlign w:val="center"/>
          </w:tcPr>
          <w:p w14:paraId="3F3E7140">
            <w:pPr>
              <w:jc w:val="center"/>
            </w:pPr>
            <w:r>
              <w:t>60</w:t>
            </w:r>
          </w:p>
        </w:tc>
        <w:tc>
          <w:tcPr>
            <w:vAlign w:val="center"/>
          </w:tcPr>
          <w:p w14:paraId="156223EA">
            <w:pPr>
              <w:jc w:val="center"/>
            </w:pPr>
            <w:r>
              <w:t>65</w:t>
            </w:r>
          </w:p>
        </w:tc>
        <w:tc>
          <w:tcPr>
            <w:vMerge w:val="restart"/>
            <w:vAlign w:val="center"/>
          </w:tcPr>
          <w:p w14:paraId="5921B37F">
            <w:pPr>
              <w:jc w:val="center"/>
            </w:pPr>
            <w:r>
              <w:t>10</w:t>
            </w:r>
          </w:p>
        </w:tc>
      </w:tr>
      <w:tr w14:paraId="643FD5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DE2E2CD">
            <w:pPr>
              <w:jc w:val="center"/>
            </w:pPr>
          </w:p>
        </w:tc>
        <w:tc>
          <w:tcPr>
            <w:vAlign w:val="center"/>
          </w:tcPr>
          <w:p w14:paraId="14CF74DC">
            <w:pPr>
              <w:jc w:val="center"/>
            </w:pPr>
            <w:r>
              <w:t>夜间</w:t>
            </w:r>
          </w:p>
        </w:tc>
        <w:tc>
          <w:tcPr>
            <w:vAlign w:val="center"/>
          </w:tcPr>
          <w:p w14:paraId="040E0299">
            <w:pPr>
              <w:jc w:val="center"/>
            </w:pPr>
            <w:r>
              <w:t>31</w:t>
            </w:r>
          </w:p>
        </w:tc>
        <w:tc>
          <w:tcPr>
            <w:vAlign w:val="center"/>
          </w:tcPr>
          <w:p w14:paraId="6E0289DA">
            <w:pPr>
              <w:jc w:val="center"/>
            </w:pPr>
            <w:r>
              <w:t>50</w:t>
            </w:r>
          </w:p>
        </w:tc>
        <w:tc>
          <w:tcPr>
            <w:vAlign w:val="center"/>
          </w:tcPr>
          <w:p w14:paraId="5800F146">
            <w:pPr>
              <w:jc w:val="center"/>
            </w:pPr>
            <w:r>
              <w:t>55</w:t>
            </w:r>
          </w:p>
        </w:tc>
        <w:tc>
          <w:tcPr>
            <w:vMerge w:val="continue"/>
            <w:vAlign w:val="center"/>
          </w:tcPr>
          <w:p w14:paraId="63F1B255">
            <w:pPr>
              <w:jc w:val="center"/>
            </w:pPr>
          </w:p>
        </w:tc>
      </w:tr>
      <w:tr w14:paraId="69D96E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5241939D">
            <w:pPr>
              <w:jc w:val="center"/>
            </w:pPr>
            <w:r>
              <w:t>DT</w:t>
            </w:r>
          </w:p>
        </w:tc>
        <w:tc>
          <w:tcPr>
            <w:vAlign w:val="center"/>
          </w:tcPr>
          <w:p w14:paraId="51487B1C">
            <w:pPr>
              <w:jc w:val="center"/>
            </w:pPr>
            <w:r>
              <w:t>昼间</w:t>
            </w:r>
          </w:p>
        </w:tc>
        <w:tc>
          <w:tcPr>
            <w:vAlign w:val="center"/>
          </w:tcPr>
          <w:p w14:paraId="4BF511B8">
            <w:pPr>
              <w:jc w:val="center"/>
            </w:pPr>
            <w:r>
              <w:t>43</w:t>
            </w:r>
          </w:p>
        </w:tc>
        <w:tc>
          <w:tcPr>
            <w:vAlign w:val="center"/>
          </w:tcPr>
          <w:p w14:paraId="1129CB75">
            <w:pPr>
              <w:jc w:val="center"/>
            </w:pPr>
            <w:r>
              <w:t>60</w:t>
            </w:r>
          </w:p>
        </w:tc>
        <w:tc>
          <w:tcPr>
            <w:vAlign w:val="center"/>
          </w:tcPr>
          <w:p w14:paraId="503F3012">
            <w:pPr>
              <w:jc w:val="center"/>
            </w:pPr>
            <w:r>
              <w:t>65</w:t>
            </w:r>
          </w:p>
        </w:tc>
        <w:tc>
          <w:tcPr>
            <w:vMerge w:val="restart"/>
            <w:vAlign w:val="center"/>
          </w:tcPr>
          <w:p w14:paraId="57BD2B46">
            <w:pPr>
              <w:jc w:val="center"/>
            </w:pPr>
            <w:r>
              <w:t>10</w:t>
            </w:r>
          </w:p>
        </w:tc>
      </w:tr>
      <w:tr w14:paraId="7B1F1B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FCEDDD9">
            <w:pPr>
              <w:jc w:val="center"/>
            </w:pPr>
          </w:p>
        </w:tc>
        <w:tc>
          <w:tcPr>
            <w:vAlign w:val="center"/>
          </w:tcPr>
          <w:p w14:paraId="176C3753">
            <w:pPr>
              <w:jc w:val="center"/>
            </w:pPr>
            <w:r>
              <w:t>夜间</w:t>
            </w:r>
          </w:p>
        </w:tc>
        <w:tc>
          <w:tcPr>
            <w:vAlign w:val="center"/>
          </w:tcPr>
          <w:p w14:paraId="307A4046">
            <w:pPr>
              <w:jc w:val="center"/>
            </w:pPr>
            <w:r>
              <w:t>36</w:t>
            </w:r>
          </w:p>
        </w:tc>
        <w:tc>
          <w:tcPr>
            <w:vAlign w:val="center"/>
          </w:tcPr>
          <w:p w14:paraId="15100BD5">
            <w:pPr>
              <w:jc w:val="center"/>
            </w:pPr>
            <w:r>
              <w:t>50</w:t>
            </w:r>
          </w:p>
        </w:tc>
        <w:tc>
          <w:tcPr>
            <w:vAlign w:val="center"/>
          </w:tcPr>
          <w:p w14:paraId="3C99A569">
            <w:pPr>
              <w:jc w:val="center"/>
            </w:pPr>
            <w:r>
              <w:t>55</w:t>
            </w:r>
          </w:p>
        </w:tc>
        <w:tc>
          <w:tcPr>
            <w:vMerge w:val="continue"/>
            <w:vAlign w:val="center"/>
          </w:tcPr>
          <w:p w14:paraId="47100D00">
            <w:pPr>
              <w:jc w:val="center"/>
            </w:pPr>
          </w:p>
        </w:tc>
      </w:tr>
      <w:tr w14:paraId="5A6A5C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7B36573F">
            <w:pPr>
              <w:jc w:val="center"/>
            </w:pPr>
            <w:r>
              <w:t>观景台</w:t>
            </w:r>
          </w:p>
        </w:tc>
        <w:tc>
          <w:tcPr>
            <w:vAlign w:val="center"/>
          </w:tcPr>
          <w:p w14:paraId="0F8F8A7B">
            <w:pPr>
              <w:jc w:val="center"/>
            </w:pPr>
            <w:r>
              <w:t>昼间</w:t>
            </w:r>
          </w:p>
        </w:tc>
        <w:tc>
          <w:tcPr>
            <w:vAlign w:val="center"/>
          </w:tcPr>
          <w:p w14:paraId="3C5F69EF">
            <w:pPr>
              <w:jc w:val="center"/>
            </w:pPr>
            <w:r>
              <w:t>39</w:t>
            </w:r>
          </w:p>
        </w:tc>
        <w:tc>
          <w:tcPr>
            <w:vAlign w:val="center"/>
          </w:tcPr>
          <w:p w14:paraId="3D905622">
            <w:pPr>
              <w:jc w:val="center"/>
            </w:pPr>
            <w:r>
              <w:t>60</w:t>
            </w:r>
          </w:p>
        </w:tc>
        <w:tc>
          <w:tcPr>
            <w:vAlign w:val="center"/>
          </w:tcPr>
          <w:p w14:paraId="72956602">
            <w:pPr>
              <w:jc w:val="center"/>
            </w:pPr>
            <w:r>
              <w:t>65</w:t>
            </w:r>
          </w:p>
        </w:tc>
        <w:tc>
          <w:tcPr>
            <w:vMerge w:val="restart"/>
            <w:vAlign w:val="center"/>
          </w:tcPr>
          <w:p w14:paraId="3F3014CB">
            <w:pPr>
              <w:jc w:val="center"/>
            </w:pPr>
            <w:r>
              <w:t>10</w:t>
            </w:r>
          </w:p>
        </w:tc>
      </w:tr>
      <w:tr w14:paraId="68C24D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1235B2E">
            <w:pPr>
              <w:jc w:val="center"/>
            </w:pPr>
          </w:p>
        </w:tc>
        <w:tc>
          <w:tcPr>
            <w:vAlign w:val="center"/>
          </w:tcPr>
          <w:p w14:paraId="3D738EE5">
            <w:pPr>
              <w:jc w:val="center"/>
            </w:pPr>
            <w:r>
              <w:t>夜间</w:t>
            </w:r>
          </w:p>
        </w:tc>
        <w:tc>
          <w:tcPr>
            <w:vAlign w:val="center"/>
          </w:tcPr>
          <w:p w14:paraId="6AB24BED">
            <w:pPr>
              <w:jc w:val="center"/>
            </w:pPr>
            <w:r>
              <w:t>32</w:t>
            </w:r>
          </w:p>
        </w:tc>
        <w:tc>
          <w:tcPr>
            <w:vAlign w:val="center"/>
          </w:tcPr>
          <w:p w14:paraId="3FA709BA">
            <w:pPr>
              <w:jc w:val="center"/>
            </w:pPr>
            <w:r>
              <w:t>50</w:t>
            </w:r>
          </w:p>
        </w:tc>
        <w:tc>
          <w:tcPr>
            <w:vAlign w:val="center"/>
          </w:tcPr>
          <w:p w14:paraId="788CCDD1">
            <w:pPr>
              <w:jc w:val="center"/>
            </w:pPr>
            <w:r>
              <w:t>55</w:t>
            </w:r>
          </w:p>
        </w:tc>
        <w:tc>
          <w:tcPr>
            <w:vMerge w:val="continue"/>
            <w:vAlign w:val="center"/>
          </w:tcPr>
          <w:p w14:paraId="01D40D75">
            <w:pPr>
              <w:jc w:val="center"/>
            </w:pPr>
          </w:p>
        </w:tc>
      </w:tr>
    </w:tbl>
    <w:p w14:paraId="2952646E">
      <w:pPr>
        <w:widowControl/>
        <w:jc w:val="center"/>
        <w:rPr>
          <w:rFonts w:ascii="Times New Roman" w:hAnsi="Times New Roman"/>
        </w:rPr>
      </w:pPr>
      <w:bookmarkStart w:id="53" w:name="建筑物噪声最大值统计表格"/>
      <w:bookmarkEnd w:id="53"/>
    </w:p>
    <w:p w14:paraId="58E38C94">
      <w:pPr>
        <w:pStyle w:val="2"/>
        <w:rPr>
          <w:sz w:val="28"/>
          <w:szCs w:val="28"/>
        </w:rPr>
      </w:pPr>
      <w:bookmarkStart w:id="54" w:name="_Toc479326730"/>
      <w:bookmarkStart w:id="55" w:name="_Toc25303"/>
      <w:r>
        <w:rPr>
          <w:rFonts w:hint="eastAsia"/>
          <w:sz w:val="28"/>
          <w:szCs w:val="28"/>
        </w:rPr>
        <w:t>5.结论</w:t>
      </w:r>
      <w:bookmarkEnd w:id="54"/>
      <w:bookmarkEnd w:id="55"/>
    </w:p>
    <w:p w14:paraId="182BA928">
      <w:pPr>
        <w:ind w:left="210" w:leftChars="100" w:firstLine="210" w:firstLineChars="100"/>
      </w:pPr>
      <w:bookmarkStart w:id="56" w:name="标准名称3"/>
      <w:r>
        <w:rPr>
          <w:rFonts w:hint="eastAsia"/>
        </w:rPr>
        <w:t>《绿色建筑评价标准》GB/T 50378-2019（2024年版）</w:t>
      </w:r>
      <w:bookmarkEnd w:id="56"/>
      <w:r>
        <w:rPr>
          <w:rFonts w:hint="eastAsia"/>
        </w:rPr>
        <w:t>第</w:t>
      </w:r>
      <w:r>
        <w:t>8.2.6</w:t>
      </w:r>
      <w:r>
        <w:rPr>
          <w:rFonts w:hint="eastAsia"/>
        </w:rPr>
        <w:t>条的要求：</w:t>
      </w:r>
    </w:p>
    <w:p w14:paraId="5E052D2F">
      <w:pPr>
        <w:pStyle w:val="25"/>
        <w:numPr>
          <w:ilvl w:val="0"/>
          <w:numId w:val="4"/>
        </w:numPr>
        <w:ind w:firstLineChars="0"/>
      </w:pPr>
      <w:r>
        <w:rPr>
          <w:rFonts w:hint="eastAsia"/>
        </w:rPr>
        <w:t>环境噪声值大于2类声环境功能区噪声等效声级限值，且小于等于3类声环境功能区噪声等效声级限值，得5分。</w:t>
      </w:r>
    </w:p>
    <w:p w14:paraId="07A3531F">
      <w:pPr>
        <w:pStyle w:val="25"/>
        <w:numPr>
          <w:ilvl w:val="0"/>
          <w:numId w:val="4"/>
        </w:numPr>
        <w:ind w:firstLineChars="0"/>
      </w:pPr>
      <w:r>
        <w:rPr>
          <w:rFonts w:hint="eastAsia"/>
        </w:rPr>
        <w:t>环境噪声值小于等于2类声环境功能区噪声等效声级限值，得1</w:t>
      </w:r>
      <w:r>
        <w:t>0</w:t>
      </w:r>
      <w:r>
        <w:rPr>
          <w:rFonts w:hint="eastAsia"/>
        </w:rPr>
        <w:t>分。</w:t>
      </w:r>
    </w:p>
    <w:p w14:paraId="2C94E195">
      <w:pPr>
        <w:spacing w:before="240"/>
        <w:jc w:val="center"/>
        <w:rPr>
          <w:rFonts w:cs="宋体"/>
          <w:sz w:val="18"/>
          <w:szCs w:val="18"/>
        </w:rPr>
      </w:pPr>
      <w:r>
        <w:rPr>
          <w:rFonts w:hint="eastAsia" w:cs="宋体"/>
          <w:sz w:val="18"/>
          <w:szCs w:val="18"/>
        </w:rPr>
        <w:t xml:space="preserve"> </w:t>
      </w:r>
      <w:r>
        <w:rPr>
          <w:rFonts w:cs="宋体"/>
          <w:sz w:val="18"/>
          <w:szCs w:val="18"/>
        </w:rPr>
        <w:t xml:space="preserve">                        </w:t>
      </w:r>
      <w:r>
        <w:t xml:space="preserve">  </w:t>
      </w:r>
      <w:r>
        <w:rPr>
          <w:rFonts w:hint="eastAsia"/>
        </w:rPr>
        <w:t>表5-</w:t>
      </w:r>
      <w:r>
        <w:t>1</w:t>
      </w:r>
      <w:r>
        <w:rPr>
          <w:rFonts w:hint="eastAsia"/>
        </w:rPr>
        <w:t xml:space="preserve">   环境噪声综合得分表     </w:t>
      </w:r>
      <w:r>
        <w:t xml:space="preserve">    </w:t>
      </w:r>
      <w:r>
        <w:rPr>
          <w:rFonts w:hint="eastAsia"/>
        </w:rPr>
        <w:t xml:space="preserve">   </w:t>
      </w:r>
      <w:r>
        <w:t xml:space="preserve">    </w:t>
      </w:r>
      <w:r>
        <w:rPr>
          <w:rFonts w:hint="eastAsia"/>
        </w:rPr>
        <w:t xml:space="preserve"> 单位：dB(A)</w:t>
      </w:r>
    </w:p>
    <w:tbl>
      <w:tblPr>
        <w:tblStyle w:val="16"/>
        <w:tblW w:w="8278" w:type="dxa"/>
        <w:tblInd w:w="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108" w:type="dxa"/>
          <w:bottom w:w="0" w:type="dxa"/>
          <w:right w:w="108" w:type="dxa"/>
        </w:tblCellMar>
      </w:tblPr>
      <w:tblGrid>
        <w:gridCol w:w="1655"/>
        <w:gridCol w:w="1655"/>
        <w:gridCol w:w="1655"/>
        <w:gridCol w:w="1656"/>
        <w:gridCol w:w="1657"/>
      </w:tblGrid>
      <w:tr w14:paraId="35E8581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1659" w:type="dxa"/>
            <w:shd w:val="clear" w:color="auto" w:fill="F1F1F1" w:themeFill="background1" w:themeFillShade="F2"/>
          </w:tcPr>
          <w:p w14:paraId="669EE678">
            <w:pPr>
              <w:jc w:val="center"/>
            </w:pPr>
            <w:r>
              <w:rPr>
                <w:rFonts w:hint="eastAsia"/>
              </w:rPr>
              <w:t>时段</w:t>
            </w:r>
          </w:p>
        </w:tc>
        <w:tc>
          <w:tcPr>
            <w:tcW w:w="1659" w:type="dxa"/>
            <w:shd w:val="clear" w:color="auto" w:fill="F1F1F1" w:themeFill="background1" w:themeFillShade="F2"/>
          </w:tcPr>
          <w:p w14:paraId="78FC8586">
            <w:pPr>
              <w:jc w:val="center"/>
            </w:pPr>
            <w:r>
              <w:rPr>
                <w:rFonts w:hint="eastAsia"/>
              </w:rPr>
              <w:t>噪声最大值</w:t>
            </w:r>
          </w:p>
        </w:tc>
        <w:tc>
          <w:tcPr>
            <w:tcW w:w="1659" w:type="dxa"/>
            <w:shd w:val="clear" w:color="auto" w:fill="F1F1F1" w:themeFill="background1" w:themeFillShade="F2"/>
          </w:tcPr>
          <w:p w14:paraId="0A9B5028">
            <w:pPr>
              <w:jc w:val="center"/>
            </w:pPr>
            <w:r>
              <w:t>2</w:t>
            </w:r>
            <w:r>
              <w:rPr>
                <w:rFonts w:hint="eastAsia"/>
              </w:rPr>
              <w:t>类噪声限值</w:t>
            </w:r>
          </w:p>
        </w:tc>
        <w:tc>
          <w:tcPr>
            <w:tcW w:w="1659" w:type="dxa"/>
            <w:shd w:val="clear" w:color="auto" w:fill="F1F1F1" w:themeFill="background1" w:themeFillShade="F2"/>
          </w:tcPr>
          <w:p w14:paraId="035EC65B">
            <w:pPr>
              <w:jc w:val="center"/>
            </w:pPr>
            <w:r>
              <w:t>3</w:t>
            </w:r>
            <w:r>
              <w:rPr>
                <w:rFonts w:hint="eastAsia"/>
              </w:rPr>
              <w:t>类噪声限值</w:t>
            </w:r>
          </w:p>
        </w:tc>
        <w:tc>
          <w:tcPr>
            <w:tcW w:w="1660" w:type="dxa"/>
            <w:shd w:val="clear" w:color="auto" w:fill="F1F1F1" w:themeFill="background1" w:themeFillShade="F2"/>
          </w:tcPr>
          <w:p w14:paraId="65EC50E5">
            <w:pPr>
              <w:jc w:val="center"/>
            </w:pPr>
            <w:r>
              <w:rPr>
                <w:rFonts w:hint="eastAsia"/>
              </w:rPr>
              <w:t>得分情况</w:t>
            </w:r>
          </w:p>
        </w:tc>
      </w:tr>
      <w:tr w14:paraId="361287F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1659" w:type="dxa"/>
          </w:tcPr>
          <w:p w14:paraId="2D88C167">
            <w:pPr>
              <w:jc w:val="center"/>
            </w:pPr>
            <w:r>
              <w:rPr>
                <w:rFonts w:hint="eastAsia"/>
              </w:rPr>
              <w:t>昼间</w:t>
            </w:r>
          </w:p>
        </w:tc>
        <w:tc>
          <w:tcPr>
            <w:tcW w:w="1659" w:type="dxa"/>
          </w:tcPr>
          <w:p w14:paraId="72704BBB">
            <w:pPr>
              <w:jc w:val="center"/>
              <w:rPr>
                <w:bCs/>
              </w:rPr>
            </w:pPr>
            <w:bookmarkStart w:id="57" w:name="昼间噪声最大值"/>
            <w:r>
              <w:rPr>
                <w:bCs/>
              </w:rPr>
              <w:t>43</w:t>
            </w:r>
            <w:bookmarkEnd w:id="57"/>
          </w:p>
        </w:tc>
        <w:tc>
          <w:tcPr>
            <w:tcW w:w="1659" w:type="dxa"/>
          </w:tcPr>
          <w:p w14:paraId="5916316E">
            <w:pPr>
              <w:jc w:val="center"/>
            </w:pPr>
            <w:r>
              <w:rPr>
                <w:bCs/>
              </w:rPr>
              <w:t>60</w:t>
            </w:r>
          </w:p>
        </w:tc>
        <w:tc>
          <w:tcPr>
            <w:tcW w:w="1659" w:type="dxa"/>
          </w:tcPr>
          <w:p w14:paraId="43732366">
            <w:pPr>
              <w:jc w:val="center"/>
            </w:pPr>
            <w:r>
              <w:rPr>
                <w:bCs/>
              </w:rPr>
              <w:t>65</w:t>
            </w:r>
          </w:p>
        </w:tc>
        <w:tc>
          <w:tcPr>
            <w:tcW w:w="1660" w:type="dxa"/>
            <w:vMerge w:val="restart"/>
            <w:vAlign w:val="center"/>
          </w:tcPr>
          <w:p w14:paraId="3321E31C">
            <w:pPr>
              <w:jc w:val="center"/>
              <w:rPr>
                <w:b/>
                <w:bCs/>
              </w:rPr>
            </w:pPr>
            <w:bookmarkStart w:id="58" w:name="得分情况"/>
            <w:r>
              <w:rPr>
                <w:b/>
                <w:bCs/>
              </w:rPr>
              <w:t>10</w:t>
            </w:r>
            <w:bookmarkEnd w:id="58"/>
            <w:r>
              <w:rPr>
                <w:rFonts w:hint="eastAsia"/>
                <w:b/>
                <w:bCs/>
              </w:rPr>
              <w:t>分</w:t>
            </w:r>
          </w:p>
        </w:tc>
      </w:tr>
      <w:tr w14:paraId="31491DF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1659" w:type="dxa"/>
          </w:tcPr>
          <w:p w14:paraId="7FF69339">
            <w:pPr>
              <w:jc w:val="center"/>
            </w:pPr>
            <w:r>
              <w:rPr>
                <w:rFonts w:hint="eastAsia"/>
              </w:rPr>
              <w:t>夜间</w:t>
            </w:r>
          </w:p>
        </w:tc>
        <w:tc>
          <w:tcPr>
            <w:tcW w:w="1659" w:type="dxa"/>
          </w:tcPr>
          <w:p w14:paraId="317AEE04">
            <w:pPr>
              <w:jc w:val="center"/>
              <w:rPr>
                <w:bCs/>
              </w:rPr>
            </w:pPr>
            <w:bookmarkStart w:id="59" w:name="夜间噪声最大值"/>
            <w:r>
              <w:rPr>
                <w:bCs/>
              </w:rPr>
              <w:t>36</w:t>
            </w:r>
            <w:bookmarkEnd w:id="59"/>
          </w:p>
        </w:tc>
        <w:tc>
          <w:tcPr>
            <w:tcW w:w="1659" w:type="dxa"/>
          </w:tcPr>
          <w:p w14:paraId="5409D01E">
            <w:pPr>
              <w:jc w:val="center"/>
              <w:rPr>
                <w:b/>
              </w:rPr>
            </w:pPr>
            <w:r>
              <w:rPr>
                <w:bCs/>
              </w:rPr>
              <w:t>50</w:t>
            </w:r>
          </w:p>
        </w:tc>
        <w:tc>
          <w:tcPr>
            <w:tcW w:w="1659" w:type="dxa"/>
          </w:tcPr>
          <w:p w14:paraId="1781DF60">
            <w:pPr>
              <w:jc w:val="center"/>
              <w:rPr>
                <w:b/>
              </w:rPr>
            </w:pPr>
            <w:r>
              <w:rPr>
                <w:bCs/>
              </w:rPr>
              <w:t>55</w:t>
            </w:r>
          </w:p>
        </w:tc>
        <w:tc>
          <w:tcPr>
            <w:tcW w:w="1660" w:type="dxa"/>
            <w:vMerge w:val="continue"/>
          </w:tcPr>
          <w:p w14:paraId="6C631C7F">
            <w:pPr>
              <w:jc w:val="center"/>
              <w:rPr>
                <w:b/>
              </w:rPr>
            </w:pPr>
          </w:p>
        </w:tc>
      </w:tr>
    </w:tbl>
    <w:p w14:paraId="5AFFB09D">
      <w:pPr>
        <w:pStyle w:val="33"/>
        <w:ind w:firstLine="420"/>
        <w:rPr>
          <w:rFonts w:ascii="宋体" w:hAnsi="Calibri"/>
          <w:sz w:val="21"/>
          <w:szCs w:val="21"/>
        </w:rPr>
      </w:pPr>
    </w:p>
    <w:p w14:paraId="03126CB8">
      <w:pPr>
        <w:pStyle w:val="33"/>
        <w:ind w:firstLine="420"/>
        <w:rPr>
          <w:rFonts w:ascii="宋体" w:hAnsi="Calibri"/>
          <w:b/>
          <w:bCs/>
          <w:sz w:val="21"/>
          <w:szCs w:val="21"/>
        </w:rPr>
      </w:pPr>
      <w:r>
        <w:rPr>
          <w:rFonts w:hint="eastAsia" w:ascii="宋体" w:hAnsi="Calibri"/>
          <w:b/>
          <w:bCs/>
          <w:sz w:val="21"/>
          <w:szCs w:val="21"/>
        </w:rPr>
        <w:t>综上所述：</w:t>
      </w:r>
    </w:p>
    <w:p w14:paraId="10241942">
      <w:pPr>
        <w:ind w:firstLine="420" w:firstLineChars="200"/>
      </w:pPr>
      <w:r>
        <w:rPr>
          <w:rFonts w:hint="eastAsia"/>
        </w:rPr>
        <w:t>1）本项目满足《绿色建筑评价标准》</w:t>
      </w:r>
      <w:r>
        <w:t>GB</w:t>
      </w:r>
      <w:r>
        <w:rPr>
          <w:rFonts w:hint="eastAsia"/>
        </w:rPr>
        <w:t xml:space="preserve"> </w:t>
      </w:r>
      <w:r>
        <w:t>50378-</w:t>
      </w:r>
      <w:r>
        <w:rPr>
          <w:rFonts w:hint="eastAsia"/>
        </w:rPr>
        <w:t>2019（2024年版）控制项第5.1.4条场地规划布局合理规划噪声源区域和噪声敏感区域，并进行识别和标注的要求。</w:t>
      </w:r>
    </w:p>
    <w:p w14:paraId="5B128CAC">
      <w:pPr>
        <w:ind w:firstLine="420" w:firstLineChars="200"/>
      </w:pPr>
      <w:r>
        <w:rPr>
          <w:rFonts w:hint="eastAsia"/>
        </w:rPr>
        <w:t>2）经过软件模拟和结果统计分析，最终判定本项目</w:t>
      </w:r>
      <w:bookmarkStart w:id="60" w:name="满足结论"/>
      <w:r>
        <w:rPr>
          <w:rFonts w:hint="eastAsia"/>
          <w:b/>
        </w:rPr>
        <w:t>满足</w:t>
      </w:r>
      <w:bookmarkEnd w:id="60"/>
      <w:r>
        <w:rPr>
          <w:rFonts w:hint="eastAsia"/>
          <w:b/>
        </w:rPr>
        <w:t xml:space="preserve"> </w:t>
      </w:r>
      <w:bookmarkStart w:id="61" w:name="标准名称4"/>
      <w:r>
        <w:rPr>
          <w:rFonts w:hint="eastAsia"/>
        </w:rPr>
        <w:t>《绿色建筑评价标准》GB/T 50378-2019（2024年版）</w:t>
      </w:r>
      <w:bookmarkEnd w:id="61"/>
      <w:r>
        <w:rPr>
          <w:rFonts w:hint="eastAsia"/>
        </w:rPr>
        <w:t>第8.2.6条，</w:t>
      </w:r>
      <w:bookmarkStart w:id="62" w:name="得分结论"/>
      <w:r>
        <w:rPr>
          <w:b/>
        </w:rPr>
        <w:t>得 10 分</w:t>
      </w:r>
      <w:bookmarkEnd w:id="62"/>
      <w:r>
        <w:rPr>
          <w:rFonts w:hint="eastAsia"/>
          <w:b/>
        </w:rPr>
        <w:t>。</w:t>
      </w:r>
    </w:p>
    <w:sectPr>
      <w:headerReference r:id="rId9" w:type="default"/>
      <w:footerReference r:id="rId10"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Cambria">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E1F1BA">
    <w:pPr>
      <w:pStyle w:val="10"/>
      <w:tabs>
        <w:tab w:val="center" w:pos="4535"/>
        <w:tab w:val="right" w:pos="9070"/>
        <w:tab w:val="clear" w:pos="4153"/>
        <w:tab w:val="clear" w:pos="8306"/>
      </w:tabs>
    </w:pPr>
    <w:r>
      <w:fldChar w:fldCharType="begin"/>
    </w:r>
    <w:r>
      <w:instrText xml:space="preserve"> HYPERLINK "http://www.gbsware.cn/" </w:instrText>
    </w:r>
    <w:r>
      <w:fldChar w:fldCharType="separate"/>
    </w:r>
    <w:r>
      <w:rPr>
        <w:rStyle w:val="19"/>
      </w:rPr>
      <w:t>http://www.gbsware.cn/</w:t>
    </w:r>
    <w:r>
      <w:rPr>
        <w:rStyle w:val="19"/>
      </w:rPr>
      <w:fldChar w:fldCharType="end"/>
    </w:r>
    <w:r>
      <w:tab/>
    </w:r>
    <w:r>
      <w:fldChar w:fldCharType="begin"/>
    </w:r>
    <w:r>
      <w:instrText xml:space="preserve"> PAGE  \* Arabic  \* MERGEFORMAT </w:instrText>
    </w:r>
    <w:r>
      <w:fldChar w:fldCharType="separate"/>
    </w:r>
    <w:r>
      <w:t>7</w:t>
    </w:r>
    <w:r>
      <w:fldChar w:fldCharType="end"/>
    </w:r>
    <w:r>
      <w:rPr>
        <w:b/>
      </w:rPr>
      <w:t>/</w:t>
    </w:r>
    <w:r>
      <w:fldChar w:fldCharType="begin"/>
    </w:r>
    <w:r>
      <w:instrText xml:space="preserve"> NUMPAGES  \* Arabic  \* MERGEFORMAT </w:instrText>
    </w:r>
    <w:r>
      <w:fldChar w:fldCharType="separate"/>
    </w:r>
    <w:r>
      <w:t>7</w:t>
    </w:r>
    <w:r>
      <w:fldChar w:fldCharType="end"/>
    </w:r>
    <w:r>
      <w:tab/>
    </w:r>
    <w:r>
      <w:t>Dali</w:t>
    </w:r>
  </w:p>
  <w:p w14:paraId="2E03224C">
    <w:pPr>
      <w:pStyle w:val="1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25FB04">
    <w:pPr>
      <w:pStyle w:val="10"/>
      <w:ind w:left="-496" w:leftChars="-23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C15E84">
    <w:pPr>
      <w:pStyle w:val="10"/>
      <w:framePr w:wrap="around" w:vAnchor="text" w:hAnchor="margin" w:xAlign="center" w:y="1"/>
      <w:rPr>
        <w:rStyle w:val="18"/>
      </w:rPr>
    </w:pPr>
    <w:r>
      <w:rPr>
        <w:rStyle w:val="18"/>
      </w:rPr>
      <w:fldChar w:fldCharType="begin"/>
    </w:r>
    <w:r>
      <w:rPr>
        <w:rStyle w:val="18"/>
      </w:rPr>
      <w:instrText xml:space="preserve">PAGE  </w:instrText>
    </w:r>
    <w:r>
      <w:rPr>
        <w:rStyle w:val="18"/>
      </w:rPr>
      <w:fldChar w:fldCharType="end"/>
    </w:r>
  </w:p>
  <w:p w14:paraId="2353E790">
    <w:pPr>
      <w:pStyle w:val="1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79080C">
    <w:pPr>
      <w:pStyle w:val="10"/>
      <w:rPr>
        <w:sz w:val="15"/>
        <w:szCs w:val="15"/>
      </w:rPr>
    </w:pPr>
    <w:r>
      <w:fldChar w:fldCharType="begin"/>
    </w:r>
    <w:r>
      <w:instrText xml:space="preserve"> HYPERLINK "http://www.gbsware.cn/" </w:instrText>
    </w:r>
    <w:r>
      <w:fldChar w:fldCharType="separate"/>
    </w:r>
    <w:r>
      <w:rPr>
        <w:kern w:val="0"/>
        <w:sz w:val="15"/>
        <w:szCs w:val="13"/>
        <w:lang w:val="en-GB"/>
      </w:rPr>
      <w:t>http://www.gbsware.cn/</w:t>
    </w:r>
    <w:r>
      <w:rPr>
        <w:kern w:val="0"/>
        <w:sz w:val="15"/>
        <w:szCs w:val="13"/>
        <w:lang w:val="en-GB"/>
      </w:rPr>
      <w:fldChar w:fldCharType="end"/>
    </w:r>
    <w:r>
      <w:rPr>
        <w:sz w:val="11"/>
        <w:szCs w:val="11"/>
      </w:rPr>
      <w:ptab w:relativeTo="margin" w:alignment="center" w:leader="none"/>
    </w:r>
    <w:r>
      <w:rPr>
        <w:rFonts w:ascii="Times New Roman" w:hAnsi="Times New Roman"/>
        <w:kern w:val="0"/>
        <w:sz w:val="15"/>
        <w:szCs w:val="13"/>
        <w:lang w:val="en-GB"/>
      </w:rPr>
      <w:fldChar w:fldCharType="begin"/>
    </w:r>
    <w:r>
      <w:rPr>
        <w:rFonts w:ascii="Times New Roman" w:hAnsi="Times New Roman"/>
        <w:kern w:val="0"/>
        <w:sz w:val="15"/>
        <w:szCs w:val="13"/>
        <w:lang w:val="en-GB"/>
      </w:rPr>
      <w:instrText xml:space="preserve"> PAGE  \* Arabic  \* MERGEFORMAT </w:instrText>
    </w:r>
    <w:r>
      <w:rPr>
        <w:rFonts w:ascii="Times New Roman" w:hAnsi="Times New Roman"/>
        <w:kern w:val="0"/>
        <w:sz w:val="15"/>
        <w:szCs w:val="13"/>
        <w:lang w:val="en-GB"/>
      </w:rPr>
      <w:fldChar w:fldCharType="separate"/>
    </w:r>
    <w:r>
      <w:rPr>
        <w:rFonts w:ascii="Times New Roman" w:hAnsi="Times New Roman"/>
        <w:kern w:val="0"/>
        <w:sz w:val="15"/>
        <w:szCs w:val="13"/>
        <w:lang w:val="en-GB"/>
      </w:rPr>
      <w:t>5</w:t>
    </w:r>
    <w:r>
      <w:rPr>
        <w:rFonts w:ascii="Times New Roman" w:hAnsi="Times New Roman"/>
        <w:kern w:val="0"/>
        <w:sz w:val="15"/>
        <w:szCs w:val="13"/>
        <w:lang w:val="en-GB"/>
      </w:rPr>
      <w:fldChar w:fldCharType="end"/>
    </w:r>
    <w:r>
      <w:rPr>
        <w:rFonts w:ascii="Times New Roman" w:hAnsi="Times New Roman"/>
        <w:b/>
        <w:kern w:val="0"/>
        <w:sz w:val="15"/>
        <w:szCs w:val="13"/>
        <w:lang w:val="en-GB"/>
      </w:rPr>
      <w:t>/</w:t>
    </w:r>
    <w:r>
      <w:rPr>
        <w:rFonts w:ascii="Times New Roman" w:hAnsi="Times New Roman"/>
        <w:kern w:val="0"/>
        <w:sz w:val="15"/>
        <w:szCs w:val="13"/>
        <w:lang w:val="en-GB"/>
      </w:rPr>
      <w:fldChar w:fldCharType="begin"/>
    </w:r>
    <w:r>
      <w:rPr>
        <w:rFonts w:ascii="Times New Roman" w:hAnsi="Times New Roman"/>
        <w:kern w:val="0"/>
        <w:sz w:val="15"/>
        <w:szCs w:val="13"/>
        <w:lang w:val="en-GB"/>
      </w:rPr>
      <w:instrText xml:space="preserve">= </w:instrText>
    </w:r>
    <w:r>
      <w:rPr>
        <w:rFonts w:ascii="Times New Roman" w:hAnsi="Times New Roman"/>
        <w:kern w:val="0"/>
        <w:sz w:val="15"/>
        <w:szCs w:val="13"/>
        <w:lang w:val="en-GB"/>
      </w:rPr>
      <w:fldChar w:fldCharType="begin"/>
    </w:r>
    <w:r>
      <w:rPr>
        <w:rFonts w:ascii="Times New Roman" w:hAnsi="Times New Roman"/>
        <w:kern w:val="0"/>
        <w:sz w:val="15"/>
        <w:szCs w:val="13"/>
        <w:lang w:val="en-GB"/>
      </w:rPr>
      <w:instrText xml:space="preserve"> NUMPAGES   </w:instrText>
    </w:r>
    <w:r>
      <w:rPr>
        <w:rFonts w:ascii="Times New Roman" w:hAnsi="Times New Roman"/>
        <w:kern w:val="0"/>
        <w:sz w:val="15"/>
        <w:szCs w:val="13"/>
        <w:lang w:val="en-GB"/>
      </w:rPr>
      <w:fldChar w:fldCharType="separate"/>
    </w:r>
    <w:r>
      <w:rPr>
        <w:rFonts w:ascii="Times New Roman" w:hAnsi="Times New Roman"/>
        <w:kern w:val="0"/>
        <w:sz w:val="15"/>
        <w:szCs w:val="13"/>
        <w:lang w:val="en-GB"/>
      </w:rPr>
      <w:instrText xml:space="preserve">7</w:instrText>
    </w:r>
    <w:r>
      <w:rPr>
        <w:rFonts w:ascii="Times New Roman" w:hAnsi="Times New Roman"/>
        <w:kern w:val="0"/>
        <w:sz w:val="15"/>
        <w:szCs w:val="13"/>
        <w:lang w:val="en-GB"/>
      </w:rPr>
      <w:fldChar w:fldCharType="end"/>
    </w:r>
    <w:r>
      <w:rPr>
        <w:rFonts w:ascii="Times New Roman" w:hAnsi="Times New Roman"/>
        <w:kern w:val="0"/>
        <w:sz w:val="15"/>
        <w:szCs w:val="13"/>
        <w:lang w:val="en-GB"/>
      </w:rPr>
      <w:instrText xml:space="preserve">\* Arabic  \* MERGEFORMAT -2</w:instrText>
    </w:r>
    <w:r>
      <w:rPr>
        <w:rFonts w:ascii="Times New Roman" w:hAnsi="Times New Roman"/>
        <w:kern w:val="0"/>
        <w:sz w:val="15"/>
        <w:szCs w:val="13"/>
        <w:lang w:val="en-GB"/>
      </w:rPr>
      <w:fldChar w:fldCharType="separate"/>
    </w:r>
    <w:r>
      <w:rPr>
        <w:rFonts w:ascii="Times New Roman" w:hAnsi="Times New Roman"/>
        <w:b/>
        <w:kern w:val="0"/>
        <w:sz w:val="15"/>
        <w:szCs w:val="13"/>
        <w:lang w:val="en-GB"/>
      </w:rPr>
      <w:t>5</w:t>
    </w:r>
    <w:r>
      <w:rPr>
        <w:rFonts w:ascii="Times New Roman" w:hAnsi="Times New Roman"/>
        <w:kern w:val="0"/>
        <w:sz w:val="15"/>
        <w:szCs w:val="13"/>
        <w:lang w:val="en-GB"/>
      </w:rPr>
      <w:fldChar w:fldCharType="end"/>
    </w:r>
    <w:r>
      <w:rPr>
        <w:sz w:val="15"/>
        <w:szCs w:val="15"/>
      </w:rPr>
      <w:ptab w:relativeTo="margin" w:alignment="right" w:leader="none"/>
    </w:r>
    <w:r>
      <w:rPr>
        <w:sz w:val="15"/>
        <w:szCs w:val="15"/>
      </w:rPr>
      <w:t>S</w:t>
    </w:r>
    <w:r>
      <w:rPr>
        <w:rFonts w:hint="eastAsia"/>
        <w:sz w:val="15"/>
        <w:szCs w:val="15"/>
      </w:rPr>
      <w:t>EDU</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7F102">
    <w:r>
      <w:rPr>
        <w:rFonts w:hint="eastAsia"/>
      </w:rPr>
      <w:t xml:space="preserve">            </w:t>
    </w:r>
    <w:r>
      <w:t xml:space="preserve">          </w:t>
    </w:r>
    <w:r>
      <w:rPr>
        <w:rFonts w:hint="eastAsia"/>
      </w:rPr>
      <w:t xml:space="preserve"> </w:t>
    </w:r>
    <w: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3C1E03">
    <w:pPr>
      <w:pStyle w:val="11"/>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F5FFE3">
    <w:pPr>
      <w:pStyle w:val="11"/>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51FF59">
    <w:pPr>
      <w:pStyle w:val="11"/>
    </w:pPr>
    <w:r>
      <w:drawing>
        <wp:inline distT="0" distB="0" distL="0" distR="0">
          <wp:extent cx="972185" cy="251460"/>
          <wp:effectExtent l="0" t="0" r="0" b="0"/>
          <wp:docPr id="1146074670" name="Picture 1146074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074670" name="Picture 114607467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972199" cy="252000"/>
                  </a:xfrm>
                  <a:prstGeom prst="rect">
                    <a:avLst/>
                  </a:prstGeom>
                </pic:spPr>
              </pic:pic>
            </a:graphicData>
          </a:graphic>
        </wp:inline>
      </w:drawing>
    </w:r>
    <w:r>
      <w:ptab w:relativeTo="margin" w:alignment="center" w:leader="none"/>
    </w:r>
    <w:r>
      <w:ptab w:relativeTo="margin" w:alignment="right" w:leader="none"/>
    </w:r>
    <w:r>
      <w:rPr>
        <w:rFonts w:hint="eastAsia"/>
      </w:rPr>
      <w:t>室外噪声模拟分析</w:t>
    </w:r>
    <w:r>
      <w:t>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8D5121A"/>
    <w:multiLevelType w:val="multilevel"/>
    <w:tmpl w:val="08D5121A"/>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
    <w:nsid w:val="2C324082"/>
    <w:multiLevelType w:val="multilevel"/>
    <w:tmpl w:val="2C324082"/>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
    <w:nsid w:val="6FCF3319"/>
    <w:multiLevelType w:val="multilevel"/>
    <w:tmpl w:val="6FCF331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
    <w:nsid w:val="73BF349F"/>
    <w:multiLevelType w:val="multilevel"/>
    <w:tmpl w:val="73BF349F"/>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attachedTemplate r:id="rId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61524603"/>
    <w:rsid w:val="00003EBD"/>
    <w:rsid w:val="00005A86"/>
    <w:rsid w:val="000139F1"/>
    <w:rsid w:val="00013F5B"/>
    <w:rsid w:val="00032BE0"/>
    <w:rsid w:val="00042D61"/>
    <w:rsid w:val="00043921"/>
    <w:rsid w:val="00044BB2"/>
    <w:rsid w:val="000470A4"/>
    <w:rsid w:val="00050314"/>
    <w:rsid w:val="00063A75"/>
    <w:rsid w:val="00063DFD"/>
    <w:rsid w:val="0006664B"/>
    <w:rsid w:val="0007058E"/>
    <w:rsid w:val="000806A6"/>
    <w:rsid w:val="000820BA"/>
    <w:rsid w:val="000845C3"/>
    <w:rsid w:val="0008748F"/>
    <w:rsid w:val="00087A9D"/>
    <w:rsid w:val="00090D3C"/>
    <w:rsid w:val="00092849"/>
    <w:rsid w:val="000965A7"/>
    <w:rsid w:val="000A2712"/>
    <w:rsid w:val="000A35F0"/>
    <w:rsid w:val="000A3E0F"/>
    <w:rsid w:val="000B2E7E"/>
    <w:rsid w:val="000B681A"/>
    <w:rsid w:val="000D1F24"/>
    <w:rsid w:val="000D2CA4"/>
    <w:rsid w:val="000D3259"/>
    <w:rsid w:val="000D4F4C"/>
    <w:rsid w:val="000D59E9"/>
    <w:rsid w:val="000D6A5A"/>
    <w:rsid w:val="000D6A8E"/>
    <w:rsid w:val="000E679C"/>
    <w:rsid w:val="000E79F5"/>
    <w:rsid w:val="000F5824"/>
    <w:rsid w:val="000F5A88"/>
    <w:rsid w:val="000F5CAC"/>
    <w:rsid w:val="000F6479"/>
    <w:rsid w:val="000F6689"/>
    <w:rsid w:val="0010350E"/>
    <w:rsid w:val="0010421D"/>
    <w:rsid w:val="001109EA"/>
    <w:rsid w:val="001128B4"/>
    <w:rsid w:val="00112D2D"/>
    <w:rsid w:val="00114BF6"/>
    <w:rsid w:val="00116DD5"/>
    <w:rsid w:val="00120005"/>
    <w:rsid w:val="00124772"/>
    <w:rsid w:val="0013009E"/>
    <w:rsid w:val="0013265A"/>
    <w:rsid w:val="001379B8"/>
    <w:rsid w:val="001405FE"/>
    <w:rsid w:val="001412B7"/>
    <w:rsid w:val="00141DA7"/>
    <w:rsid w:val="00141E71"/>
    <w:rsid w:val="00151A9C"/>
    <w:rsid w:val="0015493E"/>
    <w:rsid w:val="00161397"/>
    <w:rsid w:val="0016362E"/>
    <w:rsid w:val="0016680D"/>
    <w:rsid w:val="00167041"/>
    <w:rsid w:val="001730A4"/>
    <w:rsid w:val="00184E16"/>
    <w:rsid w:val="0018661E"/>
    <w:rsid w:val="00187625"/>
    <w:rsid w:val="001A503F"/>
    <w:rsid w:val="001A52EC"/>
    <w:rsid w:val="001A5826"/>
    <w:rsid w:val="001A634E"/>
    <w:rsid w:val="001B052D"/>
    <w:rsid w:val="001B13F9"/>
    <w:rsid w:val="001C20FC"/>
    <w:rsid w:val="001C2917"/>
    <w:rsid w:val="001C4276"/>
    <w:rsid w:val="001C5401"/>
    <w:rsid w:val="001D3231"/>
    <w:rsid w:val="001D526F"/>
    <w:rsid w:val="001D603E"/>
    <w:rsid w:val="001D6444"/>
    <w:rsid w:val="001D68D9"/>
    <w:rsid w:val="001E372E"/>
    <w:rsid w:val="001E4E43"/>
    <w:rsid w:val="001E5B54"/>
    <w:rsid w:val="001F250C"/>
    <w:rsid w:val="001F27D7"/>
    <w:rsid w:val="001F3EFB"/>
    <w:rsid w:val="001F6A55"/>
    <w:rsid w:val="002021A9"/>
    <w:rsid w:val="0022186F"/>
    <w:rsid w:val="00223BB0"/>
    <w:rsid w:val="00223FD4"/>
    <w:rsid w:val="00224EB2"/>
    <w:rsid w:val="00230497"/>
    <w:rsid w:val="00234855"/>
    <w:rsid w:val="00234AFF"/>
    <w:rsid w:val="00234DDC"/>
    <w:rsid w:val="002412ED"/>
    <w:rsid w:val="00242726"/>
    <w:rsid w:val="00244884"/>
    <w:rsid w:val="00254E47"/>
    <w:rsid w:val="00255312"/>
    <w:rsid w:val="002602B6"/>
    <w:rsid w:val="00264493"/>
    <w:rsid w:val="002659A1"/>
    <w:rsid w:val="00272200"/>
    <w:rsid w:val="0028422A"/>
    <w:rsid w:val="0028490B"/>
    <w:rsid w:val="00286700"/>
    <w:rsid w:val="002957ED"/>
    <w:rsid w:val="002A1F52"/>
    <w:rsid w:val="002A5DDB"/>
    <w:rsid w:val="002A6D8D"/>
    <w:rsid w:val="002B0E1C"/>
    <w:rsid w:val="002B23BF"/>
    <w:rsid w:val="002B262A"/>
    <w:rsid w:val="002B328B"/>
    <w:rsid w:val="002B3729"/>
    <w:rsid w:val="002B3AC4"/>
    <w:rsid w:val="002C05E5"/>
    <w:rsid w:val="002C183F"/>
    <w:rsid w:val="002C4D9C"/>
    <w:rsid w:val="002C64DD"/>
    <w:rsid w:val="002D393A"/>
    <w:rsid w:val="002E22E2"/>
    <w:rsid w:val="002E59ED"/>
    <w:rsid w:val="002E5FB9"/>
    <w:rsid w:val="002E63E2"/>
    <w:rsid w:val="0030066E"/>
    <w:rsid w:val="0030212F"/>
    <w:rsid w:val="00304975"/>
    <w:rsid w:val="0031020C"/>
    <w:rsid w:val="00310B3F"/>
    <w:rsid w:val="003152FB"/>
    <w:rsid w:val="00317189"/>
    <w:rsid w:val="003175F4"/>
    <w:rsid w:val="00317EBE"/>
    <w:rsid w:val="0032154B"/>
    <w:rsid w:val="00321C1D"/>
    <w:rsid w:val="003313D3"/>
    <w:rsid w:val="003466B3"/>
    <w:rsid w:val="00350B24"/>
    <w:rsid w:val="003531F6"/>
    <w:rsid w:val="00360782"/>
    <w:rsid w:val="003615F5"/>
    <w:rsid w:val="003617BB"/>
    <w:rsid w:val="00361C9E"/>
    <w:rsid w:val="00361D43"/>
    <w:rsid w:val="003643FB"/>
    <w:rsid w:val="0036785B"/>
    <w:rsid w:val="00373CAE"/>
    <w:rsid w:val="003834A3"/>
    <w:rsid w:val="0038426F"/>
    <w:rsid w:val="0038471D"/>
    <w:rsid w:val="00385B5B"/>
    <w:rsid w:val="003916BD"/>
    <w:rsid w:val="00391F0A"/>
    <w:rsid w:val="003972FF"/>
    <w:rsid w:val="003A3902"/>
    <w:rsid w:val="003A4F31"/>
    <w:rsid w:val="003A79BA"/>
    <w:rsid w:val="003B0E86"/>
    <w:rsid w:val="003B4AF2"/>
    <w:rsid w:val="003C00D1"/>
    <w:rsid w:val="003C1218"/>
    <w:rsid w:val="003C52B9"/>
    <w:rsid w:val="003C6CFE"/>
    <w:rsid w:val="003C7732"/>
    <w:rsid w:val="003D35B8"/>
    <w:rsid w:val="003D67A0"/>
    <w:rsid w:val="003D67D5"/>
    <w:rsid w:val="003E7B16"/>
    <w:rsid w:val="003F1246"/>
    <w:rsid w:val="003F2A13"/>
    <w:rsid w:val="003F71B5"/>
    <w:rsid w:val="00416967"/>
    <w:rsid w:val="00421A1C"/>
    <w:rsid w:val="00432563"/>
    <w:rsid w:val="00434B47"/>
    <w:rsid w:val="00440666"/>
    <w:rsid w:val="00445CF4"/>
    <w:rsid w:val="00446BAE"/>
    <w:rsid w:val="004474F8"/>
    <w:rsid w:val="00447BFE"/>
    <w:rsid w:val="0045102B"/>
    <w:rsid w:val="004636CA"/>
    <w:rsid w:val="00465BD1"/>
    <w:rsid w:val="00472D0B"/>
    <w:rsid w:val="00473EBC"/>
    <w:rsid w:val="0047447A"/>
    <w:rsid w:val="00480A89"/>
    <w:rsid w:val="004857E9"/>
    <w:rsid w:val="00485D68"/>
    <w:rsid w:val="00492420"/>
    <w:rsid w:val="004949F1"/>
    <w:rsid w:val="00495CE8"/>
    <w:rsid w:val="004A4451"/>
    <w:rsid w:val="004B615B"/>
    <w:rsid w:val="004B79D3"/>
    <w:rsid w:val="004C60D5"/>
    <w:rsid w:val="004D286C"/>
    <w:rsid w:val="004D469B"/>
    <w:rsid w:val="004F1742"/>
    <w:rsid w:val="004F253A"/>
    <w:rsid w:val="005034E9"/>
    <w:rsid w:val="00504290"/>
    <w:rsid w:val="00507D67"/>
    <w:rsid w:val="005108BD"/>
    <w:rsid w:val="00511F8C"/>
    <w:rsid w:val="00523106"/>
    <w:rsid w:val="005257D2"/>
    <w:rsid w:val="00533385"/>
    <w:rsid w:val="00534C28"/>
    <w:rsid w:val="0053539D"/>
    <w:rsid w:val="005441DA"/>
    <w:rsid w:val="005448E1"/>
    <w:rsid w:val="0054589E"/>
    <w:rsid w:val="005523A5"/>
    <w:rsid w:val="00553731"/>
    <w:rsid w:val="005546A8"/>
    <w:rsid w:val="00554ABA"/>
    <w:rsid w:val="0055640B"/>
    <w:rsid w:val="00573516"/>
    <w:rsid w:val="00577BAB"/>
    <w:rsid w:val="00582112"/>
    <w:rsid w:val="00585ACC"/>
    <w:rsid w:val="00595E38"/>
    <w:rsid w:val="00596BBF"/>
    <w:rsid w:val="005A1A90"/>
    <w:rsid w:val="005A6DF2"/>
    <w:rsid w:val="005A7933"/>
    <w:rsid w:val="005C20D1"/>
    <w:rsid w:val="005C35BF"/>
    <w:rsid w:val="005C5A16"/>
    <w:rsid w:val="005D17E3"/>
    <w:rsid w:val="005D70E3"/>
    <w:rsid w:val="005E1713"/>
    <w:rsid w:val="005E3F82"/>
    <w:rsid w:val="005E4CFE"/>
    <w:rsid w:val="005E6AD7"/>
    <w:rsid w:val="005F3A0A"/>
    <w:rsid w:val="00604292"/>
    <w:rsid w:val="00604CC9"/>
    <w:rsid w:val="00614DE0"/>
    <w:rsid w:val="00615198"/>
    <w:rsid w:val="00617658"/>
    <w:rsid w:val="006279F3"/>
    <w:rsid w:val="00631037"/>
    <w:rsid w:val="006350B6"/>
    <w:rsid w:val="006355A7"/>
    <w:rsid w:val="00635B5B"/>
    <w:rsid w:val="00637AFF"/>
    <w:rsid w:val="00640E0A"/>
    <w:rsid w:val="006448A0"/>
    <w:rsid w:val="006502BE"/>
    <w:rsid w:val="0065136A"/>
    <w:rsid w:val="0065654E"/>
    <w:rsid w:val="006660F4"/>
    <w:rsid w:val="00667148"/>
    <w:rsid w:val="00677D86"/>
    <w:rsid w:val="00682C4F"/>
    <w:rsid w:val="00683ECD"/>
    <w:rsid w:val="00684423"/>
    <w:rsid w:val="00684684"/>
    <w:rsid w:val="00687BD4"/>
    <w:rsid w:val="00696819"/>
    <w:rsid w:val="006A4C1D"/>
    <w:rsid w:val="006B2CD4"/>
    <w:rsid w:val="006B44E5"/>
    <w:rsid w:val="006B4A8B"/>
    <w:rsid w:val="006D07B4"/>
    <w:rsid w:val="006E1CA1"/>
    <w:rsid w:val="006E2B46"/>
    <w:rsid w:val="006E7BC8"/>
    <w:rsid w:val="006E7F52"/>
    <w:rsid w:val="007031AD"/>
    <w:rsid w:val="007108C0"/>
    <w:rsid w:val="007121F1"/>
    <w:rsid w:val="00712AD2"/>
    <w:rsid w:val="0071467E"/>
    <w:rsid w:val="00721DC1"/>
    <w:rsid w:val="00723EAE"/>
    <w:rsid w:val="00733806"/>
    <w:rsid w:val="00734ED7"/>
    <w:rsid w:val="0073685B"/>
    <w:rsid w:val="0074079C"/>
    <w:rsid w:val="0074110A"/>
    <w:rsid w:val="00746459"/>
    <w:rsid w:val="00747596"/>
    <w:rsid w:val="00747657"/>
    <w:rsid w:val="007524FA"/>
    <w:rsid w:val="00753354"/>
    <w:rsid w:val="007556B9"/>
    <w:rsid w:val="0075593C"/>
    <w:rsid w:val="00761CF1"/>
    <w:rsid w:val="00762C2E"/>
    <w:rsid w:val="00762DE0"/>
    <w:rsid w:val="007637A7"/>
    <w:rsid w:val="0076409B"/>
    <w:rsid w:val="00781128"/>
    <w:rsid w:val="007818E1"/>
    <w:rsid w:val="00784376"/>
    <w:rsid w:val="007853A9"/>
    <w:rsid w:val="007873B1"/>
    <w:rsid w:val="00792428"/>
    <w:rsid w:val="00794146"/>
    <w:rsid w:val="007955EF"/>
    <w:rsid w:val="0079632C"/>
    <w:rsid w:val="007A15A2"/>
    <w:rsid w:val="007A33DF"/>
    <w:rsid w:val="007B3895"/>
    <w:rsid w:val="007C611D"/>
    <w:rsid w:val="007D0C5B"/>
    <w:rsid w:val="007D0F85"/>
    <w:rsid w:val="007D1479"/>
    <w:rsid w:val="007D35E4"/>
    <w:rsid w:val="007F26A9"/>
    <w:rsid w:val="007F30C9"/>
    <w:rsid w:val="007F7CBB"/>
    <w:rsid w:val="007F7D94"/>
    <w:rsid w:val="008010F1"/>
    <w:rsid w:val="008050F2"/>
    <w:rsid w:val="00814755"/>
    <w:rsid w:val="00815106"/>
    <w:rsid w:val="00815E72"/>
    <w:rsid w:val="00816591"/>
    <w:rsid w:val="00817805"/>
    <w:rsid w:val="008201B5"/>
    <w:rsid w:val="00824A3E"/>
    <w:rsid w:val="00831DA2"/>
    <w:rsid w:val="008325DF"/>
    <w:rsid w:val="0083700A"/>
    <w:rsid w:val="00841238"/>
    <w:rsid w:val="008428AD"/>
    <w:rsid w:val="008437E3"/>
    <w:rsid w:val="008478D5"/>
    <w:rsid w:val="00851D45"/>
    <w:rsid w:val="00852A66"/>
    <w:rsid w:val="00852FCF"/>
    <w:rsid w:val="00854D3C"/>
    <w:rsid w:val="00855EB3"/>
    <w:rsid w:val="0086294D"/>
    <w:rsid w:val="008658B5"/>
    <w:rsid w:val="00871BF4"/>
    <w:rsid w:val="00872727"/>
    <w:rsid w:val="00872BEE"/>
    <w:rsid w:val="00874581"/>
    <w:rsid w:val="008815E2"/>
    <w:rsid w:val="00885B6D"/>
    <w:rsid w:val="008904B8"/>
    <w:rsid w:val="008927F6"/>
    <w:rsid w:val="008944FD"/>
    <w:rsid w:val="008952FE"/>
    <w:rsid w:val="008A245B"/>
    <w:rsid w:val="008A70E0"/>
    <w:rsid w:val="008B01D1"/>
    <w:rsid w:val="008B506D"/>
    <w:rsid w:val="008C1285"/>
    <w:rsid w:val="008D4EB8"/>
    <w:rsid w:val="008D65C0"/>
    <w:rsid w:val="008D7DA0"/>
    <w:rsid w:val="008E1005"/>
    <w:rsid w:val="008E3E53"/>
    <w:rsid w:val="008F0665"/>
    <w:rsid w:val="008F0B53"/>
    <w:rsid w:val="008F4319"/>
    <w:rsid w:val="008F5A26"/>
    <w:rsid w:val="008F5D58"/>
    <w:rsid w:val="00900562"/>
    <w:rsid w:val="009028AD"/>
    <w:rsid w:val="00902E0E"/>
    <w:rsid w:val="009110EF"/>
    <w:rsid w:val="0091229D"/>
    <w:rsid w:val="00923068"/>
    <w:rsid w:val="009279F3"/>
    <w:rsid w:val="00930557"/>
    <w:rsid w:val="009342C5"/>
    <w:rsid w:val="00935299"/>
    <w:rsid w:val="00937F34"/>
    <w:rsid w:val="00941850"/>
    <w:rsid w:val="00941895"/>
    <w:rsid w:val="00942C4A"/>
    <w:rsid w:val="00946913"/>
    <w:rsid w:val="00954C34"/>
    <w:rsid w:val="00955B14"/>
    <w:rsid w:val="0095604F"/>
    <w:rsid w:val="009607F1"/>
    <w:rsid w:val="0096289C"/>
    <w:rsid w:val="0096398E"/>
    <w:rsid w:val="00965577"/>
    <w:rsid w:val="00966719"/>
    <w:rsid w:val="00971CEF"/>
    <w:rsid w:val="009760F8"/>
    <w:rsid w:val="00983734"/>
    <w:rsid w:val="0098534F"/>
    <w:rsid w:val="00985D5D"/>
    <w:rsid w:val="00987121"/>
    <w:rsid w:val="00990539"/>
    <w:rsid w:val="00990F63"/>
    <w:rsid w:val="009977C7"/>
    <w:rsid w:val="009A250F"/>
    <w:rsid w:val="009A7EE4"/>
    <w:rsid w:val="009B25D9"/>
    <w:rsid w:val="009B3FFD"/>
    <w:rsid w:val="009B755C"/>
    <w:rsid w:val="009C0639"/>
    <w:rsid w:val="009C093B"/>
    <w:rsid w:val="009C0945"/>
    <w:rsid w:val="009C0977"/>
    <w:rsid w:val="009C172A"/>
    <w:rsid w:val="009C2215"/>
    <w:rsid w:val="009C48E1"/>
    <w:rsid w:val="009E0773"/>
    <w:rsid w:val="009E0918"/>
    <w:rsid w:val="009E0961"/>
    <w:rsid w:val="009E1925"/>
    <w:rsid w:val="009E2E3A"/>
    <w:rsid w:val="009E4FBB"/>
    <w:rsid w:val="009F094C"/>
    <w:rsid w:val="009F18F1"/>
    <w:rsid w:val="009F3D06"/>
    <w:rsid w:val="00A01992"/>
    <w:rsid w:val="00A01D82"/>
    <w:rsid w:val="00A06C90"/>
    <w:rsid w:val="00A127B9"/>
    <w:rsid w:val="00A1358C"/>
    <w:rsid w:val="00A14505"/>
    <w:rsid w:val="00A2499E"/>
    <w:rsid w:val="00A273DD"/>
    <w:rsid w:val="00A30A7A"/>
    <w:rsid w:val="00A33916"/>
    <w:rsid w:val="00A33B09"/>
    <w:rsid w:val="00A41019"/>
    <w:rsid w:val="00A4575A"/>
    <w:rsid w:val="00A459DC"/>
    <w:rsid w:val="00A45A72"/>
    <w:rsid w:val="00A47CAC"/>
    <w:rsid w:val="00A53BBE"/>
    <w:rsid w:val="00A53E61"/>
    <w:rsid w:val="00A608EA"/>
    <w:rsid w:val="00A61A8A"/>
    <w:rsid w:val="00A61B39"/>
    <w:rsid w:val="00A640CD"/>
    <w:rsid w:val="00A6412D"/>
    <w:rsid w:val="00A64882"/>
    <w:rsid w:val="00A65874"/>
    <w:rsid w:val="00A65905"/>
    <w:rsid w:val="00A6686B"/>
    <w:rsid w:val="00A70F4E"/>
    <w:rsid w:val="00A91269"/>
    <w:rsid w:val="00A949E1"/>
    <w:rsid w:val="00AA0457"/>
    <w:rsid w:val="00AA0BC4"/>
    <w:rsid w:val="00AD141D"/>
    <w:rsid w:val="00AD14E4"/>
    <w:rsid w:val="00AD22B2"/>
    <w:rsid w:val="00AD4D6B"/>
    <w:rsid w:val="00AD681F"/>
    <w:rsid w:val="00AE0F3C"/>
    <w:rsid w:val="00AE13B4"/>
    <w:rsid w:val="00AE2430"/>
    <w:rsid w:val="00AE5699"/>
    <w:rsid w:val="00AE7A72"/>
    <w:rsid w:val="00AF1538"/>
    <w:rsid w:val="00B07594"/>
    <w:rsid w:val="00B3155E"/>
    <w:rsid w:val="00B341A3"/>
    <w:rsid w:val="00B3552D"/>
    <w:rsid w:val="00B377BD"/>
    <w:rsid w:val="00B46EAE"/>
    <w:rsid w:val="00B47D8F"/>
    <w:rsid w:val="00B51530"/>
    <w:rsid w:val="00B51C41"/>
    <w:rsid w:val="00B53549"/>
    <w:rsid w:val="00B6150F"/>
    <w:rsid w:val="00B64380"/>
    <w:rsid w:val="00B66C1E"/>
    <w:rsid w:val="00B71294"/>
    <w:rsid w:val="00B713EB"/>
    <w:rsid w:val="00B71841"/>
    <w:rsid w:val="00B720B6"/>
    <w:rsid w:val="00B73BF8"/>
    <w:rsid w:val="00B82B95"/>
    <w:rsid w:val="00B83093"/>
    <w:rsid w:val="00B833AC"/>
    <w:rsid w:val="00B84746"/>
    <w:rsid w:val="00B85B45"/>
    <w:rsid w:val="00B916D7"/>
    <w:rsid w:val="00B92616"/>
    <w:rsid w:val="00B93D3E"/>
    <w:rsid w:val="00B94494"/>
    <w:rsid w:val="00BA4CC7"/>
    <w:rsid w:val="00BB0B1D"/>
    <w:rsid w:val="00BB2ADC"/>
    <w:rsid w:val="00BB4B9B"/>
    <w:rsid w:val="00BB4CA5"/>
    <w:rsid w:val="00BB4FFB"/>
    <w:rsid w:val="00BB5D43"/>
    <w:rsid w:val="00BB6E75"/>
    <w:rsid w:val="00BC3F18"/>
    <w:rsid w:val="00BD6D64"/>
    <w:rsid w:val="00BE122C"/>
    <w:rsid w:val="00BE51B5"/>
    <w:rsid w:val="00BE5B8B"/>
    <w:rsid w:val="00BE6E1D"/>
    <w:rsid w:val="00C009F1"/>
    <w:rsid w:val="00C02B5F"/>
    <w:rsid w:val="00C03121"/>
    <w:rsid w:val="00C04C8D"/>
    <w:rsid w:val="00C22B99"/>
    <w:rsid w:val="00C30F8E"/>
    <w:rsid w:val="00C4220C"/>
    <w:rsid w:val="00C44D80"/>
    <w:rsid w:val="00C52DAB"/>
    <w:rsid w:val="00C56A9D"/>
    <w:rsid w:val="00C56B9C"/>
    <w:rsid w:val="00C56E7B"/>
    <w:rsid w:val="00C57696"/>
    <w:rsid w:val="00C61316"/>
    <w:rsid w:val="00C6137E"/>
    <w:rsid w:val="00C87391"/>
    <w:rsid w:val="00C9024B"/>
    <w:rsid w:val="00C92BD3"/>
    <w:rsid w:val="00C9594B"/>
    <w:rsid w:val="00CB414B"/>
    <w:rsid w:val="00CB7F92"/>
    <w:rsid w:val="00CC6908"/>
    <w:rsid w:val="00CD388B"/>
    <w:rsid w:val="00CD49D2"/>
    <w:rsid w:val="00CE3BE4"/>
    <w:rsid w:val="00CE4518"/>
    <w:rsid w:val="00CE47B5"/>
    <w:rsid w:val="00CE7274"/>
    <w:rsid w:val="00CF1D5C"/>
    <w:rsid w:val="00CF2C23"/>
    <w:rsid w:val="00CF44DD"/>
    <w:rsid w:val="00CF44FC"/>
    <w:rsid w:val="00CF4DFB"/>
    <w:rsid w:val="00CF54D3"/>
    <w:rsid w:val="00D00AA7"/>
    <w:rsid w:val="00D0116B"/>
    <w:rsid w:val="00D05105"/>
    <w:rsid w:val="00D05AE4"/>
    <w:rsid w:val="00D06335"/>
    <w:rsid w:val="00D11A20"/>
    <w:rsid w:val="00D11E40"/>
    <w:rsid w:val="00D14CD0"/>
    <w:rsid w:val="00D207FB"/>
    <w:rsid w:val="00D21815"/>
    <w:rsid w:val="00D24FB2"/>
    <w:rsid w:val="00D303E4"/>
    <w:rsid w:val="00D318B6"/>
    <w:rsid w:val="00D3244A"/>
    <w:rsid w:val="00D33624"/>
    <w:rsid w:val="00D34E70"/>
    <w:rsid w:val="00D35F01"/>
    <w:rsid w:val="00D62874"/>
    <w:rsid w:val="00D650C0"/>
    <w:rsid w:val="00D71C25"/>
    <w:rsid w:val="00D73004"/>
    <w:rsid w:val="00D7364D"/>
    <w:rsid w:val="00D83B4F"/>
    <w:rsid w:val="00DA206F"/>
    <w:rsid w:val="00DA4D9A"/>
    <w:rsid w:val="00DA60F0"/>
    <w:rsid w:val="00DA710A"/>
    <w:rsid w:val="00DC15F5"/>
    <w:rsid w:val="00DD0A81"/>
    <w:rsid w:val="00DE79A0"/>
    <w:rsid w:val="00DF0317"/>
    <w:rsid w:val="00DF2059"/>
    <w:rsid w:val="00DF2B98"/>
    <w:rsid w:val="00E07502"/>
    <w:rsid w:val="00E10BC1"/>
    <w:rsid w:val="00E1295C"/>
    <w:rsid w:val="00E13710"/>
    <w:rsid w:val="00E139F7"/>
    <w:rsid w:val="00E258A2"/>
    <w:rsid w:val="00E32D9A"/>
    <w:rsid w:val="00E35FA5"/>
    <w:rsid w:val="00E361BF"/>
    <w:rsid w:val="00E44371"/>
    <w:rsid w:val="00E45068"/>
    <w:rsid w:val="00E50660"/>
    <w:rsid w:val="00E53494"/>
    <w:rsid w:val="00E56749"/>
    <w:rsid w:val="00E61309"/>
    <w:rsid w:val="00E62B08"/>
    <w:rsid w:val="00E647E1"/>
    <w:rsid w:val="00E7131D"/>
    <w:rsid w:val="00E8103F"/>
    <w:rsid w:val="00E8229B"/>
    <w:rsid w:val="00E829E0"/>
    <w:rsid w:val="00E868D9"/>
    <w:rsid w:val="00E87B96"/>
    <w:rsid w:val="00E87C2B"/>
    <w:rsid w:val="00E91473"/>
    <w:rsid w:val="00E94AEB"/>
    <w:rsid w:val="00E96C3E"/>
    <w:rsid w:val="00EB758D"/>
    <w:rsid w:val="00EB7898"/>
    <w:rsid w:val="00EC3CCA"/>
    <w:rsid w:val="00EC5BBC"/>
    <w:rsid w:val="00EC72FA"/>
    <w:rsid w:val="00ED0083"/>
    <w:rsid w:val="00ED5211"/>
    <w:rsid w:val="00EE11A7"/>
    <w:rsid w:val="00EE2023"/>
    <w:rsid w:val="00EE3AF2"/>
    <w:rsid w:val="00EF41C1"/>
    <w:rsid w:val="00EF73F3"/>
    <w:rsid w:val="00F012B9"/>
    <w:rsid w:val="00F01CC2"/>
    <w:rsid w:val="00F0232A"/>
    <w:rsid w:val="00F05FFA"/>
    <w:rsid w:val="00F24521"/>
    <w:rsid w:val="00F25618"/>
    <w:rsid w:val="00F3631E"/>
    <w:rsid w:val="00F41CFF"/>
    <w:rsid w:val="00F46175"/>
    <w:rsid w:val="00F46F8B"/>
    <w:rsid w:val="00F515FF"/>
    <w:rsid w:val="00F601E8"/>
    <w:rsid w:val="00F64650"/>
    <w:rsid w:val="00F67A25"/>
    <w:rsid w:val="00F70C42"/>
    <w:rsid w:val="00F82E22"/>
    <w:rsid w:val="00F85F15"/>
    <w:rsid w:val="00F8780D"/>
    <w:rsid w:val="00F92CF8"/>
    <w:rsid w:val="00F95680"/>
    <w:rsid w:val="00F97C81"/>
    <w:rsid w:val="00FA060E"/>
    <w:rsid w:val="00FA0657"/>
    <w:rsid w:val="00FA2486"/>
    <w:rsid w:val="00FB0C2B"/>
    <w:rsid w:val="00FB751F"/>
    <w:rsid w:val="00FC2740"/>
    <w:rsid w:val="00FC5C1E"/>
    <w:rsid w:val="00FC792A"/>
    <w:rsid w:val="00FD4B97"/>
    <w:rsid w:val="00FD4D55"/>
    <w:rsid w:val="00FD633D"/>
    <w:rsid w:val="00FE2DCA"/>
    <w:rsid w:val="00FE4B5B"/>
    <w:rsid w:val="00FF1FA5"/>
    <w:rsid w:val="00FF21E4"/>
    <w:rsid w:val="00FF2234"/>
    <w:rsid w:val="00FF4D64"/>
    <w:rsid w:val="2FA22324"/>
    <w:rsid w:val="440806B0"/>
    <w:rsid w:val="61524603"/>
    <w:rsid w:val="7D216E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napToGrid w:val="0"/>
    </w:pPr>
    <w:rPr>
      <w:rFonts w:ascii="微软雅黑" w:hAnsi="微软雅黑" w:eastAsia="微软雅黑" w:cs="微软雅黑"/>
      <w:kern w:val="2"/>
      <w:sz w:val="21"/>
      <w:szCs w:val="21"/>
      <w:lang w:val="en-US" w:eastAsia="zh-CN" w:bidi="ar-SA"/>
    </w:rPr>
  </w:style>
  <w:style w:type="paragraph" w:styleId="2">
    <w:name w:val="heading 1"/>
    <w:basedOn w:val="1"/>
    <w:next w:val="1"/>
    <w:link w:val="23"/>
    <w:qFormat/>
    <w:uiPriority w:val="9"/>
    <w:pPr>
      <w:keepNext/>
      <w:keepLines/>
      <w:spacing w:before="340" w:after="330"/>
      <w:outlineLvl w:val="0"/>
    </w:pPr>
    <w:rPr>
      <w:b/>
      <w:bCs/>
      <w:kern w:val="44"/>
      <w:sz w:val="44"/>
      <w:szCs w:val="44"/>
    </w:rPr>
  </w:style>
  <w:style w:type="paragraph" w:styleId="3">
    <w:name w:val="heading 2"/>
    <w:basedOn w:val="1"/>
    <w:next w:val="1"/>
    <w:link w:val="24"/>
    <w:unhideWhenUsed/>
    <w:qFormat/>
    <w:uiPriority w:val="9"/>
    <w:pPr>
      <w:keepNext/>
      <w:keepLines/>
      <w:spacing w:before="260" w:after="260"/>
      <w:outlineLvl w:val="1"/>
    </w:pPr>
    <w:rPr>
      <w:b/>
      <w:bCs/>
      <w:sz w:val="32"/>
      <w:szCs w:val="32"/>
    </w:rPr>
  </w:style>
  <w:style w:type="paragraph" w:styleId="4">
    <w:name w:val="heading 3"/>
    <w:basedOn w:val="1"/>
    <w:next w:val="1"/>
    <w:link w:val="26"/>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27"/>
    <w:unhideWhenUsed/>
    <w:qFormat/>
    <w:uiPriority w:val="9"/>
    <w:pPr>
      <w:keepNext/>
      <w:keepLines/>
      <w:spacing w:before="280" w:after="290" w:line="376" w:lineRule="auto"/>
      <w:outlineLvl w:val="3"/>
    </w:pPr>
    <w:rPr>
      <w:rFonts w:ascii="Cambria" w:hAnsi="Cambria"/>
      <w:b/>
      <w:bCs/>
      <w:sz w:val="28"/>
      <w:szCs w:val="28"/>
    </w:rPr>
  </w:style>
  <w:style w:type="paragraph" w:styleId="6">
    <w:name w:val="heading 5"/>
    <w:basedOn w:val="1"/>
    <w:next w:val="1"/>
    <w:link w:val="29"/>
    <w:unhideWhenUsed/>
    <w:qFormat/>
    <w:uiPriority w:val="9"/>
    <w:pPr>
      <w:keepNext/>
      <w:keepLines/>
      <w:spacing w:before="280" w:after="290" w:line="376" w:lineRule="auto"/>
      <w:outlineLvl w:val="4"/>
    </w:pPr>
    <w:rPr>
      <w:b/>
      <w:bCs/>
      <w:sz w:val="28"/>
      <w:szCs w:val="28"/>
    </w:rPr>
  </w:style>
  <w:style w:type="character" w:default="1" w:styleId="17">
    <w:name w:val="Default Paragraph Font"/>
    <w:semiHidden/>
    <w:unhideWhenUsed/>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7">
    <w:name w:val="annotation text"/>
    <w:basedOn w:val="1"/>
    <w:link w:val="30"/>
    <w:semiHidden/>
    <w:unhideWhenUsed/>
    <w:qFormat/>
    <w:uiPriority w:val="99"/>
  </w:style>
  <w:style w:type="paragraph" w:styleId="8">
    <w:name w:val="toc 3"/>
    <w:basedOn w:val="1"/>
    <w:next w:val="1"/>
    <w:autoRedefine/>
    <w:semiHidden/>
    <w:qFormat/>
    <w:uiPriority w:val="0"/>
    <w:pPr>
      <w:widowControl/>
      <w:tabs>
        <w:tab w:val="left" w:pos="900"/>
        <w:tab w:val="right" w:leader="dot" w:pos="9360"/>
      </w:tabs>
      <w:spacing w:line="360" w:lineRule="exact"/>
      <w:ind w:left="210" w:firstLine="210" w:firstLineChars="100"/>
    </w:pPr>
    <w:rPr>
      <w:rFonts w:ascii="Times New Roman" w:hAnsi="Times New Roman"/>
      <w:szCs w:val="24"/>
    </w:rPr>
  </w:style>
  <w:style w:type="paragraph" w:styleId="9">
    <w:name w:val="Balloon Text"/>
    <w:basedOn w:val="1"/>
    <w:link w:val="32"/>
    <w:semiHidden/>
    <w:unhideWhenUsed/>
    <w:qFormat/>
    <w:uiPriority w:val="99"/>
    <w:rPr>
      <w:sz w:val="18"/>
      <w:szCs w:val="18"/>
    </w:rPr>
  </w:style>
  <w:style w:type="paragraph" w:styleId="10">
    <w:name w:val="footer"/>
    <w:basedOn w:val="1"/>
    <w:link w:val="22"/>
    <w:unhideWhenUsed/>
    <w:qFormat/>
    <w:uiPriority w:val="0"/>
    <w:pPr>
      <w:tabs>
        <w:tab w:val="center" w:pos="4153"/>
        <w:tab w:val="right" w:pos="8306"/>
      </w:tabs>
    </w:pPr>
    <w:rPr>
      <w:sz w:val="18"/>
      <w:szCs w:val="18"/>
    </w:rPr>
  </w:style>
  <w:style w:type="paragraph" w:styleId="11">
    <w:name w:val="header"/>
    <w:basedOn w:val="1"/>
    <w:link w:val="21"/>
    <w:unhideWhenUsed/>
    <w:qFormat/>
    <w:uiPriority w:val="0"/>
    <w:pPr>
      <w:pBdr>
        <w:bottom w:val="single" w:color="auto" w:sz="6" w:space="1"/>
      </w:pBdr>
      <w:tabs>
        <w:tab w:val="center" w:pos="4153"/>
        <w:tab w:val="right" w:pos="8306"/>
      </w:tabs>
      <w:jc w:val="center"/>
    </w:pPr>
    <w:rPr>
      <w:sz w:val="18"/>
      <w:szCs w:val="18"/>
    </w:rPr>
  </w:style>
  <w:style w:type="paragraph" w:styleId="12">
    <w:name w:val="toc 1"/>
    <w:basedOn w:val="1"/>
    <w:next w:val="1"/>
    <w:autoRedefine/>
    <w:qFormat/>
    <w:uiPriority w:val="39"/>
    <w:pPr>
      <w:widowControl/>
      <w:tabs>
        <w:tab w:val="left" w:leader="dot" w:pos="180"/>
        <w:tab w:val="right" w:leader="dot" w:pos="9360"/>
      </w:tabs>
      <w:spacing w:line="360" w:lineRule="exact"/>
    </w:pPr>
    <w:rPr>
      <w:rFonts w:ascii="Times New Roman" w:hAnsi="Times New Roman"/>
      <w:b/>
      <w:bCs/>
      <w:szCs w:val="24"/>
    </w:rPr>
  </w:style>
  <w:style w:type="paragraph" w:styleId="13">
    <w:name w:val="toc 2"/>
    <w:basedOn w:val="1"/>
    <w:next w:val="1"/>
    <w:autoRedefine/>
    <w:qFormat/>
    <w:uiPriority w:val="39"/>
    <w:pPr>
      <w:widowControl/>
      <w:tabs>
        <w:tab w:val="left" w:pos="540"/>
        <w:tab w:val="right" w:leader="dot" w:pos="9360"/>
      </w:tabs>
      <w:spacing w:line="360" w:lineRule="exact"/>
      <w:ind w:left="200"/>
    </w:pPr>
    <w:rPr>
      <w:rFonts w:ascii="Times New Roman" w:hAnsi="Times New Roman"/>
      <w:szCs w:val="24"/>
    </w:rPr>
  </w:style>
  <w:style w:type="paragraph" w:styleId="14">
    <w:name w:val="annotation subject"/>
    <w:basedOn w:val="7"/>
    <w:next w:val="7"/>
    <w:link w:val="31"/>
    <w:semiHidden/>
    <w:unhideWhenUsed/>
    <w:qFormat/>
    <w:uiPriority w:val="99"/>
    <w:rPr>
      <w:b/>
      <w:bCs/>
    </w:rPr>
  </w:style>
  <w:style w:type="table" w:styleId="16">
    <w:name w:val="Table Grid"/>
    <w:basedOn w:val="15"/>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8">
    <w:name w:val="page number"/>
    <w:basedOn w:val="17"/>
    <w:qFormat/>
    <w:uiPriority w:val="0"/>
  </w:style>
  <w:style w:type="character" w:styleId="19">
    <w:name w:val="Hyperlink"/>
    <w:qFormat/>
    <w:uiPriority w:val="99"/>
    <w:rPr>
      <w:color w:val="0000FF"/>
      <w:u w:val="single"/>
    </w:rPr>
  </w:style>
  <w:style w:type="character" w:styleId="20">
    <w:name w:val="annotation reference"/>
    <w:semiHidden/>
    <w:unhideWhenUsed/>
    <w:qFormat/>
    <w:uiPriority w:val="99"/>
    <w:rPr>
      <w:sz w:val="21"/>
      <w:szCs w:val="21"/>
    </w:rPr>
  </w:style>
  <w:style w:type="character" w:customStyle="1" w:styleId="21">
    <w:name w:val="页眉 字符"/>
    <w:link w:val="11"/>
    <w:qFormat/>
    <w:uiPriority w:val="99"/>
    <w:rPr>
      <w:sz w:val="18"/>
      <w:szCs w:val="18"/>
    </w:rPr>
  </w:style>
  <w:style w:type="character" w:customStyle="1" w:styleId="22">
    <w:name w:val="页脚 字符"/>
    <w:link w:val="10"/>
    <w:qFormat/>
    <w:uiPriority w:val="0"/>
    <w:rPr>
      <w:sz w:val="18"/>
      <w:szCs w:val="18"/>
    </w:rPr>
  </w:style>
  <w:style w:type="character" w:customStyle="1" w:styleId="23">
    <w:name w:val="标题 1 字符"/>
    <w:link w:val="2"/>
    <w:qFormat/>
    <w:uiPriority w:val="9"/>
    <w:rPr>
      <w:rFonts w:ascii="微软雅黑" w:hAnsi="微软雅黑" w:eastAsia="微软雅黑" w:cs="微软雅黑"/>
      <w:b/>
      <w:bCs/>
      <w:kern w:val="44"/>
      <w:sz w:val="44"/>
      <w:szCs w:val="44"/>
    </w:rPr>
  </w:style>
  <w:style w:type="character" w:customStyle="1" w:styleId="24">
    <w:name w:val="标题 2 字符"/>
    <w:link w:val="3"/>
    <w:qFormat/>
    <w:uiPriority w:val="9"/>
    <w:rPr>
      <w:rFonts w:ascii="微软雅黑" w:hAnsi="微软雅黑" w:eastAsia="微软雅黑" w:cs="微软雅黑"/>
      <w:b/>
      <w:bCs/>
      <w:kern w:val="2"/>
      <w:sz w:val="32"/>
      <w:szCs w:val="32"/>
    </w:rPr>
  </w:style>
  <w:style w:type="paragraph" w:styleId="25">
    <w:name w:val="List Paragraph"/>
    <w:basedOn w:val="1"/>
    <w:qFormat/>
    <w:uiPriority w:val="34"/>
    <w:pPr>
      <w:ind w:firstLine="420" w:firstLineChars="200"/>
    </w:pPr>
  </w:style>
  <w:style w:type="character" w:customStyle="1" w:styleId="26">
    <w:name w:val="标题 3 字符"/>
    <w:link w:val="4"/>
    <w:qFormat/>
    <w:uiPriority w:val="9"/>
    <w:rPr>
      <w:b/>
      <w:bCs/>
      <w:sz w:val="32"/>
      <w:szCs w:val="32"/>
    </w:rPr>
  </w:style>
  <w:style w:type="character" w:customStyle="1" w:styleId="27">
    <w:name w:val="标题 4 字符"/>
    <w:link w:val="5"/>
    <w:qFormat/>
    <w:uiPriority w:val="9"/>
    <w:rPr>
      <w:rFonts w:ascii="Cambria" w:hAnsi="Cambria" w:eastAsia="宋体" w:cs="Times New Roman"/>
      <w:b/>
      <w:bCs/>
      <w:sz w:val="28"/>
      <w:szCs w:val="28"/>
    </w:rPr>
  </w:style>
  <w:style w:type="paragraph" w:customStyle="1" w:styleId="28">
    <w:name w:val="Default"/>
    <w:qFormat/>
    <w:uiPriority w:val="99"/>
    <w:pPr>
      <w:widowControl w:val="0"/>
      <w:autoSpaceDE w:val="0"/>
      <w:autoSpaceDN w:val="0"/>
      <w:adjustRightInd w:val="0"/>
      <w:jc w:val="center"/>
    </w:pPr>
    <w:rPr>
      <w:rFonts w:ascii="宋体" w:hAnsi="Calibri" w:eastAsia="宋体" w:cs="宋体"/>
      <w:color w:val="000000"/>
      <w:sz w:val="24"/>
      <w:szCs w:val="24"/>
      <w:lang w:val="en-US" w:eastAsia="zh-CN" w:bidi="ar-SA"/>
    </w:rPr>
  </w:style>
  <w:style w:type="character" w:customStyle="1" w:styleId="29">
    <w:name w:val="标题 5 字符"/>
    <w:link w:val="6"/>
    <w:qFormat/>
    <w:uiPriority w:val="9"/>
    <w:rPr>
      <w:b/>
      <w:bCs/>
      <w:sz w:val="28"/>
      <w:szCs w:val="28"/>
    </w:rPr>
  </w:style>
  <w:style w:type="character" w:customStyle="1" w:styleId="30">
    <w:name w:val="批注文字 字符"/>
    <w:basedOn w:val="17"/>
    <w:link w:val="7"/>
    <w:semiHidden/>
    <w:qFormat/>
    <w:uiPriority w:val="99"/>
  </w:style>
  <w:style w:type="character" w:customStyle="1" w:styleId="31">
    <w:name w:val="批注主题 字符"/>
    <w:link w:val="14"/>
    <w:semiHidden/>
    <w:qFormat/>
    <w:uiPriority w:val="99"/>
    <w:rPr>
      <w:b/>
      <w:bCs/>
    </w:rPr>
  </w:style>
  <w:style w:type="character" w:customStyle="1" w:styleId="32">
    <w:name w:val="批注框文本 字符"/>
    <w:link w:val="9"/>
    <w:semiHidden/>
    <w:qFormat/>
    <w:uiPriority w:val="99"/>
    <w:rPr>
      <w:sz w:val="18"/>
      <w:szCs w:val="18"/>
    </w:rPr>
  </w:style>
  <w:style w:type="paragraph" w:customStyle="1" w:styleId="33">
    <w:name w:val="毕业论文 正文"/>
    <w:basedOn w:val="1"/>
    <w:qFormat/>
    <w:uiPriority w:val="0"/>
    <w:pPr>
      <w:spacing w:line="400" w:lineRule="exact"/>
      <w:ind w:firstLine="560" w:firstLineChars="200"/>
    </w:pPr>
    <w:rPr>
      <w:rFonts w:ascii="Times New Roman" w:hAnsi="Times New Roman" w:cs="宋体"/>
      <w:sz w:val="24"/>
      <w:szCs w:val="20"/>
    </w:rPr>
  </w:style>
  <w:style w:type="paragraph" w:customStyle="1" w:styleId="34">
    <w:name w:val="毕业论文图表下标题"/>
    <w:basedOn w:val="1"/>
    <w:qFormat/>
    <w:uiPriority w:val="0"/>
    <w:pPr>
      <w:ind w:firstLine="452" w:firstLineChars="250"/>
      <w:jc w:val="center"/>
    </w:pPr>
    <w:rPr>
      <w:rFonts w:ascii="宋体" w:hAnsi="宋体" w:cs="宋体"/>
      <w:b/>
      <w:bCs/>
      <w:sz w:val="18"/>
      <w:szCs w:val="20"/>
    </w:rPr>
  </w:style>
  <w:style w:type="paragraph" w:customStyle="1" w:styleId="35">
    <w:name w:val="毕业论文二级标题"/>
    <w:basedOn w:val="3"/>
    <w:qFormat/>
    <w:uiPriority w:val="0"/>
    <w:pPr>
      <w:spacing w:before="240" w:after="240" w:line="400" w:lineRule="exact"/>
    </w:pPr>
    <w:rPr>
      <w:rFonts w:ascii="Times New Roman" w:hAnsi="Times New Roman" w:eastAsia="黑体" w:cs="宋体"/>
      <w:sz w:val="28"/>
      <w:szCs w:val="20"/>
    </w:rPr>
  </w:style>
  <w:style w:type="paragraph" w:customStyle="1" w:styleId="36">
    <w:name w:val="表格正文"/>
    <w:qFormat/>
    <w:uiPriority w:val="0"/>
    <w:pPr>
      <w:jc w:val="center"/>
    </w:pPr>
    <w:rPr>
      <w:rFonts w:ascii="Times New Roman" w:hAnsi="Times New Roman" w:eastAsia="宋体" w:cs="Times New Roman"/>
      <w:sz w:val="21"/>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footer" Target="footer1.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numbering" Target="numbering.xml"/><Relationship Id="rId3" Type="http://schemas.openxmlformats.org/officeDocument/2006/relationships/header" Target="header1.xml"/><Relationship Id="rId29" Type="http://schemas.openxmlformats.org/officeDocument/2006/relationships/image" Target="media/image19.bmp"/><Relationship Id="rId28" Type="http://schemas.openxmlformats.org/officeDocument/2006/relationships/image" Target="media/image18.bmp"/><Relationship Id="rId27" Type="http://schemas.openxmlformats.org/officeDocument/2006/relationships/image" Target="media/image17.png"/><Relationship Id="rId26" Type="http://schemas.openxmlformats.org/officeDocument/2006/relationships/image" Target="media/image16.wmf"/><Relationship Id="rId25" Type="http://schemas.openxmlformats.org/officeDocument/2006/relationships/image" Target="media/image15.wmf"/><Relationship Id="rId24" Type="http://schemas.openxmlformats.org/officeDocument/2006/relationships/image" Target="media/image14.bmp"/><Relationship Id="rId23" Type="http://schemas.openxmlformats.org/officeDocument/2006/relationships/image" Target="media/image13.bmp"/><Relationship Id="rId22" Type="http://schemas.openxmlformats.org/officeDocument/2006/relationships/image" Target="media/image12.bmp"/><Relationship Id="rId21" Type="http://schemas.openxmlformats.org/officeDocument/2006/relationships/image" Target="media/image11.bmp"/><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bmp"/><Relationship Id="rId14" Type="http://schemas.openxmlformats.org/officeDocument/2006/relationships/image" Target="media/image4.wmf"/><Relationship Id="rId13" Type="http://schemas.openxmlformats.org/officeDocument/2006/relationships/image" Target="media/image3.png"/><Relationship Id="rId12" Type="http://schemas.openxmlformats.org/officeDocument/2006/relationships/image" Target="media/image2.bmp"/><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1\AppData\Local\Temp\tmp8.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857C7A-9F84-4FDC-8214-75A46DA65FF5}">
  <ds:schemaRefs/>
</ds:datastoreItem>
</file>

<file path=docProps/app.xml><?xml version="1.0" encoding="utf-8"?>
<Properties xmlns="http://schemas.openxmlformats.org/officeDocument/2006/extended-properties" xmlns:vt="http://schemas.openxmlformats.org/officeDocument/2006/docPropsVTypes">
  <Template>tmp8.dotx</Template>
  <Pages>14</Pages>
  <Words>2966</Words>
  <Characters>3987</Characters>
  <Lines>30</Lines>
  <Paragraphs>8</Paragraphs>
  <TotalTime>0</TotalTime>
  <ScaleCrop>false</ScaleCrop>
  <LinksUpToDate>false</LinksUpToDate>
  <CharactersWithSpaces>4169</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2025-12-29T08:06:00Z</dcterms:created>
  <dc:creator>范小草</dc:creator>
  <cp:lastModifiedBy>李兴军</cp:lastModifiedBy>
  <dcterms:modified xsi:type="dcterms:W3CDTF">2026-01-03T15:41:42Z</dcterms:modified>
  <dc:title>1声环境室外噪声分析报告</dc:title>
  <cp:revision>90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44D0BE8664D14FE9959B2505988C9B2A_11</vt:lpwstr>
  </property>
  <property fmtid="{D5CDD505-2E9C-101B-9397-08002B2CF9AE}" pid="3" name="KSOTemplateDocerSaveRecord">
    <vt:lpwstr>eyJoZGlkIjoiYTc2ZGZiNzZiNDVlOGViOWVmM2JhOTY0NGJkNjUyYzgiLCJ1c2VySWQiOiIxMTQ5MTM1MjY4In0=</vt:lpwstr>
  </property>
  <property fmtid="{D5CDD505-2E9C-101B-9397-08002B2CF9AE}" pid="4" name="KSOProductBuildVer">
    <vt:lpwstr>2052-12.1.0.24034</vt:lpwstr>
  </property>
</Properties>
</file>