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三星绿建试验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报告日期：2025年3月9日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项目名称：三星绿建试验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50378-2024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围护结构提高20%或负荷降低15%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围护结构提高10%或负荷降低%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绿色建材应用比例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应用比例30%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碳减排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明确全寿命期单位建筑面积碳排放强度，并明确降低碳排放强度的技术措施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全寿命期单位建筑面积碳排放强为30kgCO2/（m2·a）减碳率20%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78.0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89.0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56.0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107.0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38.0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858.0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因地制宜建设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电力交互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保险产品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