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BB" w:rsidRDefault="00192071">
      <w:pPr>
        <w:pStyle w:val="a6"/>
        <w:rPr>
          <w:rFonts w:ascii="Times New Roman"/>
          <w:sz w:val="20"/>
          <w:lang w:val="en-US"/>
        </w:rPr>
      </w:pPr>
      <w:r>
        <w:rPr>
          <w:rFonts w:ascii="Times New Roman" w:hint="eastAsia"/>
          <w:sz w:val="20"/>
          <w:lang w:val="en-US"/>
        </w:rPr>
        <w:t xml:space="preserve"> </w:t>
      </w: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rPr>
          <w:rFonts w:ascii="Times New Roman"/>
          <w:sz w:val="20"/>
        </w:rPr>
      </w:pPr>
    </w:p>
    <w:p w:rsidR="00C90EBB" w:rsidRDefault="00C90EBB">
      <w:pPr>
        <w:pStyle w:val="a6"/>
        <w:spacing w:before="10"/>
        <w:rPr>
          <w:rFonts w:ascii="Times New Roman"/>
          <w:sz w:val="23"/>
        </w:rPr>
      </w:pPr>
    </w:p>
    <w:p w:rsidR="00C90EBB" w:rsidRDefault="00192071">
      <w:pPr>
        <w:spacing w:line="360" w:lineRule="auto"/>
        <w:jc w:val="center"/>
        <w:rPr>
          <w:rFonts w:ascii="黑体" w:eastAsia="黑体"/>
          <w:bCs/>
          <w:sz w:val="52"/>
          <w:szCs w:val="52"/>
        </w:rPr>
      </w:pPr>
      <w:r>
        <w:rPr>
          <w:rFonts w:ascii="黑体" w:eastAsia="黑体" w:hint="eastAsia"/>
          <w:bCs/>
          <w:sz w:val="52"/>
          <w:szCs w:val="52"/>
        </w:rPr>
        <w:t>可再利用和可再循环建筑材料使用比例计算书</w:t>
      </w: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rPr>
          <w:rFonts w:ascii="黑体"/>
          <w:b/>
          <w:sz w:val="20"/>
        </w:rPr>
      </w:pPr>
    </w:p>
    <w:p w:rsidR="00C90EBB" w:rsidRDefault="00C90EBB">
      <w:pPr>
        <w:pStyle w:val="a6"/>
        <w:spacing w:before="12"/>
        <w:rPr>
          <w:rFonts w:ascii="黑体"/>
          <w:b/>
          <w:sz w:val="14"/>
        </w:rPr>
      </w:pPr>
    </w:p>
    <w:tbl>
      <w:tblPr>
        <w:tblW w:w="0" w:type="auto"/>
        <w:tblInd w:w="1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3"/>
        <w:gridCol w:w="4197"/>
      </w:tblGrid>
      <w:tr w:rsidR="00C90EBB">
        <w:trPr>
          <w:trHeight w:val="340"/>
        </w:trPr>
        <w:tc>
          <w:tcPr>
            <w:tcW w:w="1383" w:type="dxa"/>
            <w:shd w:val="clear" w:color="auto" w:fill="E6E6E6"/>
            <w:vAlign w:val="center"/>
          </w:tcPr>
          <w:p w:rsidR="00C90EBB" w:rsidRDefault="00192071">
            <w:pPr>
              <w:widowControl/>
              <w:autoSpaceDE/>
              <w:autoSpaceDN/>
              <w:jc w:val="center"/>
              <w:rPr>
                <w:rFonts w:ascii="Times New Roman" w:hAnsi="Times New Roman" w:cs="Times New Roman"/>
                <w:sz w:val="21"/>
              </w:rPr>
            </w:pPr>
            <w:r>
              <w:rPr>
                <w:rFonts w:ascii="Times New Roman" w:hAnsi="Times New Roman" w:cs="Times New Roman"/>
                <w:sz w:val="21"/>
                <w:szCs w:val="21"/>
                <w:lang w:val="en-US"/>
              </w:rPr>
              <w:t>工程名称</w:t>
            </w:r>
          </w:p>
        </w:tc>
        <w:tc>
          <w:tcPr>
            <w:tcW w:w="4197" w:type="dxa"/>
            <w:vAlign w:val="center"/>
          </w:tcPr>
          <w:p w:rsidR="00C90EBB" w:rsidRDefault="00CF21C5">
            <w:pPr>
              <w:pStyle w:val="a9"/>
              <w:widowControl/>
              <w:tabs>
                <w:tab w:val="clear" w:pos="4153"/>
                <w:tab w:val="clear" w:pos="8306"/>
              </w:tabs>
              <w:autoSpaceDE/>
              <w:autoSpaceDN/>
              <w:snapToGrid/>
              <w:jc w:val="center"/>
              <w:rPr>
                <w:rFonts w:ascii="Times New Roman" w:hAnsi="Times New Roman" w:cs="Times New Roman"/>
                <w:sz w:val="21"/>
                <w:lang w:val="en-US"/>
              </w:rPr>
            </w:pPr>
            <w:r w:rsidRPr="00CF21C5">
              <w:rPr>
                <w:rFonts w:ascii="Times New Roman" w:hAnsi="Times New Roman" w:cs="Times New Roman"/>
                <w:sz w:val="21"/>
                <w:szCs w:val="21"/>
                <w:lang w:val="en-US"/>
              </w:rPr>
              <w:t>1123</w:t>
            </w:r>
            <w:r w:rsidRPr="00CF21C5">
              <w:rPr>
                <w:rFonts w:ascii="Times New Roman" w:hAnsi="Times New Roman" w:cs="Times New Roman"/>
                <w:sz w:val="21"/>
                <w:szCs w:val="21"/>
                <w:lang w:val="en-US"/>
              </w:rPr>
              <w:t>浏阳河文创产业园文化馆</w:t>
            </w:r>
            <w:r w:rsidRPr="00CF21C5">
              <w:rPr>
                <w:rFonts w:ascii="Times New Roman" w:hAnsi="Times New Roman" w:cs="Times New Roman"/>
                <w:sz w:val="21"/>
                <w:szCs w:val="21"/>
                <w:lang w:val="en-US"/>
              </w:rPr>
              <w:t xml:space="preserve"> </w:t>
            </w:r>
            <w:r w:rsidRPr="00CF21C5">
              <w:rPr>
                <w:rFonts w:ascii="Times New Roman" w:hAnsi="Times New Roman" w:cs="Times New Roman"/>
                <w:sz w:val="21"/>
                <w:szCs w:val="21"/>
                <w:lang w:val="en-US"/>
              </w:rPr>
              <w:t>群众艺术馆</w:t>
            </w:r>
          </w:p>
        </w:tc>
      </w:tr>
      <w:tr w:rsidR="00C90EBB">
        <w:trPr>
          <w:trHeight w:val="311"/>
        </w:trPr>
        <w:tc>
          <w:tcPr>
            <w:tcW w:w="1383" w:type="dxa"/>
            <w:shd w:val="clear" w:color="auto" w:fill="E6E6E6"/>
            <w:vAlign w:val="center"/>
          </w:tcPr>
          <w:p w:rsidR="00C90EBB" w:rsidRDefault="00192071">
            <w:pPr>
              <w:widowControl/>
              <w:autoSpaceDE/>
              <w:autoSpaceDN/>
              <w:jc w:val="center"/>
              <w:rPr>
                <w:rFonts w:ascii="Times New Roman" w:hAnsi="Times New Roman" w:cs="Times New Roman"/>
                <w:sz w:val="21"/>
              </w:rPr>
            </w:pPr>
            <w:r>
              <w:rPr>
                <w:rFonts w:ascii="Times New Roman" w:hAnsi="Times New Roman" w:cs="Times New Roman"/>
                <w:sz w:val="21"/>
                <w:szCs w:val="21"/>
              </w:rPr>
              <w:t>建设单位</w:t>
            </w:r>
          </w:p>
        </w:tc>
        <w:tc>
          <w:tcPr>
            <w:tcW w:w="4197" w:type="dxa"/>
            <w:vAlign w:val="center"/>
          </w:tcPr>
          <w:p w:rsidR="00C90EBB" w:rsidRDefault="00CF21C5">
            <w:pPr>
              <w:widowControl/>
              <w:autoSpaceDE/>
              <w:autoSpaceDN/>
              <w:jc w:val="center"/>
              <w:rPr>
                <w:rFonts w:ascii="Times New Roman" w:hAnsi="Times New Roman" w:cs="Times New Roman"/>
                <w:sz w:val="21"/>
              </w:rPr>
            </w:pPr>
            <w:r w:rsidRPr="00CF21C5">
              <w:rPr>
                <w:rFonts w:ascii="Times New Roman" w:hAnsi="Times New Roman" w:cs="Times New Roman" w:hint="eastAsia"/>
                <w:sz w:val="21"/>
                <w:szCs w:val="21"/>
                <w:lang w:val="en-US"/>
              </w:rPr>
              <w:t>长沙市芙蓉城市建设投资集团有限公司</w:t>
            </w:r>
          </w:p>
        </w:tc>
      </w:tr>
      <w:tr w:rsidR="00C90EBB">
        <w:trPr>
          <w:trHeight w:val="312"/>
        </w:trPr>
        <w:tc>
          <w:tcPr>
            <w:tcW w:w="1383" w:type="dxa"/>
            <w:shd w:val="clear" w:color="auto" w:fill="E6E6E6"/>
            <w:vAlign w:val="center"/>
          </w:tcPr>
          <w:p w:rsidR="00C90EBB" w:rsidRDefault="00192071">
            <w:pPr>
              <w:widowControl/>
              <w:autoSpaceDE/>
              <w:autoSpaceDN/>
              <w:jc w:val="center"/>
              <w:rPr>
                <w:rFonts w:ascii="Times New Roman" w:hAnsi="Times New Roman" w:cs="Times New Roman"/>
                <w:sz w:val="21"/>
              </w:rPr>
            </w:pPr>
            <w:r>
              <w:rPr>
                <w:rFonts w:ascii="Times New Roman" w:hAnsi="Times New Roman" w:cs="Times New Roman"/>
                <w:sz w:val="21"/>
                <w:szCs w:val="21"/>
              </w:rPr>
              <w:t>设计单位</w:t>
            </w:r>
          </w:p>
        </w:tc>
        <w:tc>
          <w:tcPr>
            <w:tcW w:w="4197" w:type="dxa"/>
            <w:vAlign w:val="center"/>
          </w:tcPr>
          <w:p w:rsidR="00C90EBB" w:rsidRDefault="00CF21C5">
            <w:pPr>
              <w:widowControl/>
              <w:autoSpaceDE/>
              <w:autoSpaceDN/>
              <w:jc w:val="center"/>
              <w:rPr>
                <w:rFonts w:ascii="Times New Roman" w:hAnsi="Times New Roman" w:cs="Times New Roman"/>
                <w:sz w:val="21"/>
              </w:rPr>
            </w:pPr>
            <w:r w:rsidRPr="00CF21C5">
              <w:rPr>
                <w:rFonts w:ascii="Times New Roman" w:hAnsi="Times New Roman" w:cs="Times New Roman" w:hint="eastAsia"/>
                <w:sz w:val="21"/>
                <w:szCs w:val="21"/>
                <w:lang w:val="en-US"/>
              </w:rPr>
              <w:t>湖南诚士建筑规划设计有限公司</w:t>
            </w:r>
          </w:p>
        </w:tc>
      </w:tr>
      <w:tr w:rsidR="00C90EBB">
        <w:trPr>
          <w:trHeight w:val="312"/>
        </w:trPr>
        <w:tc>
          <w:tcPr>
            <w:tcW w:w="1383" w:type="dxa"/>
            <w:shd w:val="clear" w:color="auto" w:fill="E6E6E6"/>
            <w:vAlign w:val="center"/>
          </w:tcPr>
          <w:p w:rsidR="00C90EBB" w:rsidRDefault="00192071">
            <w:pPr>
              <w:widowControl/>
              <w:autoSpaceDE/>
              <w:autoSpaceDN/>
              <w:jc w:val="center"/>
              <w:rPr>
                <w:rFonts w:ascii="Times New Roman" w:hAnsi="Times New Roman" w:cs="Times New Roman"/>
                <w:sz w:val="21"/>
                <w:szCs w:val="21"/>
              </w:rPr>
            </w:pPr>
            <w:r>
              <w:rPr>
                <w:rFonts w:ascii="Times New Roman" w:hAnsi="Times New Roman" w:cs="Times New Roman"/>
                <w:sz w:val="21"/>
                <w:szCs w:val="21"/>
              </w:rPr>
              <w:t>计算日期</w:t>
            </w:r>
          </w:p>
        </w:tc>
        <w:tc>
          <w:tcPr>
            <w:tcW w:w="4197" w:type="dxa"/>
            <w:vAlign w:val="center"/>
          </w:tcPr>
          <w:p w:rsidR="00C90EBB" w:rsidRDefault="00192071" w:rsidP="00CF21C5">
            <w:pPr>
              <w:widowControl/>
              <w:autoSpaceDE/>
              <w:autoSpaceDN/>
              <w:jc w:val="center"/>
              <w:rPr>
                <w:rFonts w:ascii="Times New Roman" w:hAnsi="Times New Roman" w:cs="Times New Roman"/>
                <w:sz w:val="21"/>
                <w:szCs w:val="21"/>
                <w:lang w:val="en-US"/>
              </w:rPr>
            </w:pPr>
            <w:r>
              <w:rPr>
                <w:rFonts w:ascii="Times New Roman" w:hAnsi="Times New Roman" w:cs="Times New Roman"/>
                <w:sz w:val="21"/>
                <w:szCs w:val="21"/>
              </w:rPr>
              <w:t>20</w:t>
            </w:r>
            <w:r>
              <w:rPr>
                <w:rFonts w:ascii="Times New Roman" w:hAnsi="Times New Roman" w:cs="Times New Roman"/>
                <w:sz w:val="21"/>
                <w:szCs w:val="21"/>
                <w:lang w:val="en-US"/>
              </w:rPr>
              <w:t>2</w:t>
            </w:r>
            <w:r w:rsidR="00CF21C5">
              <w:rPr>
                <w:rFonts w:ascii="Times New Roman" w:hAnsi="Times New Roman" w:cs="Times New Roman"/>
                <w:sz w:val="21"/>
                <w:szCs w:val="21"/>
                <w:lang w:val="en-US"/>
              </w:rPr>
              <w:t>3</w:t>
            </w:r>
            <w:r>
              <w:rPr>
                <w:rFonts w:ascii="Times New Roman" w:hAnsi="Times New Roman" w:cs="Times New Roman"/>
                <w:sz w:val="21"/>
                <w:szCs w:val="21"/>
              </w:rPr>
              <w:t>年</w:t>
            </w:r>
            <w:r w:rsidR="00CF21C5">
              <w:rPr>
                <w:rFonts w:ascii="Times New Roman" w:hAnsi="Times New Roman" w:cs="Times New Roman"/>
                <w:sz w:val="21"/>
                <w:szCs w:val="21"/>
                <w:lang w:val="en-US"/>
              </w:rPr>
              <w:t>11</w:t>
            </w:r>
            <w:r>
              <w:rPr>
                <w:rFonts w:ascii="Times New Roman" w:hAnsi="Times New Roman" w:cs="Times New Roman"/>
                <w:sz w:val="21"/>
                <w:szCs w:val="21"/>
              </w:rPr>
              <w:t>月</w:t>
            </w:r>
            <w:r w:rsidR="00CF21C5">
              <w:rPr>
                <w:rFonts w:ascii="Times New Roman" w:hAnsi="Times New Roman" w:cs="Times New Roman"/>
                <w:sz w:val="21"/>
                <w:szCs w:val="21"/>
                <w:lang w:val="en-US"/>
              </w:rPr>
              <w:t>24</w:t>
            </w:r>
            <w:r>
              <w:rPr>
                <w:rFonts w:ascii="Times New Roman" w:hAnsi="Times New Roman" w:cs="Times New Roman"/>
                <w:sz w:val="21"/>
                <w:szCs w:val="21"/>
                <w:lang w:val="en-US"/>
              </w:rPr>
              <w:t>日</w:t>
            </w:r>
          </w:p>
        </w:tc>
      </w:tr>
    </w:tbl>
    <w:p w:rsidR="00C90EBB" w:rsidRDefault="00C90EBB">
      <w:pPr>
        <w:jc w:val="center"/>
        <w:rPr>
          <w:sz w:val="21"/>
        </w:rPr>
        <w:sectPr w:rsidR="00C90EBB">
          <w:type w:val="continuous"/>
          <w:pgSz w:w="11910" w:h="16840"/>
          <w:pgMar w:top="1440" w:right="1800" w:bottom="1440" w:left="1800" w:header="720" w:footer="720" w:gutter="0"/>
          <w:cols w:space="720"/>
        </w:sectPr>
      </w:pPr>
    </w:p>
    <w:p w:rsidR="00C90EBB" w:rsidRDefault="00192071">
      <w:pPr>
        <w:pStyle w:val="1"/>
        <w:numPr>
          <w:ilvl w:val="0"/>
          <w:numId w:val="1"/>
        </w:numPr>
        <w:spacing w:after="0"/>
        <w:rPr>
          <w:lang w:val="en-US"/>
        </w:rPr>
      </w:pPr>
      <w:bookmarkStart w:id="0" w:name="三、可再循环材料比例计算"/>
      <w:bookmarkEnd w:id="0"/>
      <w:r>
        <w:rPr>
          <w:rFonts w:hint="eastAsia"/>
          <w:lang w:val="en-US"/>
        </w:rPr>
        <w:lastRenderedPageBreak/>
        <w:t>项目概况</w:t>
      </w:r>
    </w:p>
    <w:p w:rsidR="00C90EBB" w:rsidRDefault="00192071">
      <w:pPr>
        <w:autoSpaceDE/>
        <w:autoSpaceDN/>
        <w:spacing w:line="36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本项目位于</w:t>
      </w:r>
      <w:r>
        <w:rPr>
          <w:rFonts w:ascii="Times New Roman" w:hAnsi="Times New Roman" w:cs="Times New Roman" w:hint="eastAsia"/>
          <w:sz w:val="24"/>
          <w:szCs w:val="24"/>
          <w:lang w:val="en-US"/>
        </w:rPr>
        <w:t>湖南省</w:t>
      </w:r>
      <w:r w:rsidR="00CF21C5">
        <w:rPr>
          <w:rFonts w:ascii="Times New Roman" w:hAnsi="Times New Roman" w:cs="Times New Roman" w:hint="eastAsia"/>
          <w:sz w:val="24"/>
          <w:szCs w:val="24"/>
          <w:lang w:val="en-US"/>
        </w:rPr>
        <w:t>长沙市</w:t>
      </w:r>
      <w:r>
        <w:rPr>
          <w:rFonts w:ascii="Times New Roman" w:hAnsi="Times New Roman" w:cs="Times New Roman"/>
          <w:sz w:val="24"/>
          <w:szCs w:val="24"/>
          <w:lang w:val="en-US"/>
        </w:rPr>
        <w:t>。</w:t>
      </w:r>
    </w:p>
    <w:p w:rsidR="00C90EBB" w:rsidRDefault="00192071">
      <w:pPr>
        <w:pStyle w:val="2"/>
        <w:ind w:leftChars="0" w:left="0" w:firstLineChars="0" w:firstLine="0"/>
      </w:pPr>
      <w:r>
        <w:rPr>
          <w:noProof/>
          <w:lang w:val="en-US" w:bidi="ar-SA"/>
        </w:rPr>
        <w:drawing>
          <wp:inline distT="0" distB="0" distL="114300" distR="114300">
            <wp:extent cx="4607441" cy="3070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7441" cy="3070860"/>
                    </a:xfrm>
                    <a:prstGeom prst="rect">
                      <a:avLst/>
                    </a:prstGeom>
                    <a:noFill/>
                    <a:ln>
                      <a:noFill/>
                    </a:ln>
                  </pic:spPr>
                </pic:pic>
              </a:graphicData>
            </a:graphic>
          </wp:inline>
        </w:drawing>
      </w:r>
    </w:p>
    <w:p w:rsidR="00C90EBB" w:rsidRDefault="00192071">
      <w:pPr>
        <w:pStyle w:val="1"/>
        <w:numPr>
          <w:ilvl w:val="0"/>
          <w:numId w:val="1"/>
        </w:numPr>
        <w:spacing w:after="0"/>
        <w:rPr>
          <w:lang w:val="en-US"/>
        </w:rPr>
      </w:pPr>
      <w:r>
        <w:rPr>
          <w:rFonts w:ascii="Times New Roman" w:hAnsi="Times New Roman" w:cs="Times New Roman"/>
        </w:rPr>
        <w:t>参考标准</w:t>
      </w:r>
    </w:p>
    <w:p w:rsidR="00C90EBB" w:rsidRDefault="00192071">
      <w:pPr>
        <w:autoSpaceDE/>
        <w:autoSpaceDN/>
        <w:spacing w:line="36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《绿色建筑评价标准》</w:t>
      </w:r>
      <w:r>
        <w:rPr>
          <w:rFonts w:ascii="Times New Roman" w:hAnsi="Times New Roman" w:cs="Times New Roman"/>
          <w:sz w:val="24"/>
          <w:szCs w:val="24"/>
          <w:lang w:val="en-US"/>
        </w:rPr>
        <w:t>GB/T 50378</w:t>
      </w:r>
      <w:r>
        <w:rPr>
          <w:rFonts w:ascii="Times New Roman" w:hAnsi="Times New Roman" w:cs="Times New Roman" w:hint="eastAsia"/>
          <w:sz w:val="24"/>
          <w:szCs w:val="24"/>
          <w:lang w:val="en-US"/>
        </w:rPr>
        <w:t>-</w:t>
      </w:r>
      <w:r>
        <w:rPr>
          <w:rFonts w:ascii="Times New Roman" w:hAnsi="Times New Roman" w:cs="Times New Roman"/>
          <w:sz w:val="24"/>
          <w:szCs w:val="24"/>
          <w:lang w:val="en-US"/>
        </w:rPr>
        <w:t>201</w:t>
      </w:r>
      <w:r>
        <w:rPr>
          <w:rFonts w:ascii="Times New Roman" w:hAnsi="Times New Roman" w:cs="Times New Roman" w:hint="eastAsia"/>
          <w:sz w:val="24"/>
          <w:szCs w:val="24"/>
          <w:lang w:val="en-US"/>
        </w:rPr>
        <w:t>9</w:t>
      </w:r>
    </w:p>
    <w:p w:rsidR="00C90EBB" w:rsidRDefault="00192071">
      <w:pPr>
        <w:autoSpaceDE/>
        <w:autoSpaceDN/>
        <w:spacing w:line="36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《绿色建筑评价技术细则》</w:t>
      </w:r>
      <w:r>
        <w:rPr>
          <w:rFonts w:ascii="Times New Roman" w:hAnsi="Times New Roman" w:cs="Times New Roman" w:hint="eastAsia"/>
          <w:sz w:val="24"/>
          <w:szCs w:val="24"/>
          <w:lang w:val="en-US"/>
        </w:rPr>
        <w:t>2019</w:t>
      </w:r>
    </w:p>
    <w:p w:rsidR="00C90EBB" w:rsidRDefault="00192071">
      <w:pPr>
        <w:autoSpaceDE/>
        <w:autoSpaceDN/>
        <w:spacing w:line="360" w:lineRule="auto"/>
        <w:ind w:firstLineChars="200" w:firstLine="480"/>
        <w:jc w:val="both"/>
        <w:rPr>
          <w:lang w:val="en-US"/>
        </w:rPr>
      </w:pPr>
      <w:r>
        <w:rPr>
          <w:rFonts w:ascii="Times New Roman" w:hAnsi="Times New Roman" w:cs="Times New Roman" w:hint="eastAsia"/>
          <w:sz w:val="24"/>
          <w:szCs w:val="24"/>
          <w:lang w:val="en-US"/>
        </w:rPr>
        <w:t>《湖南省绿色建筑工程设计要点》（</w:t>
      </w:r>
      <w:r>
        <w:rPr>
          <w:rFonts w:ascii="Times New Roman" w:hAnsi="Times New Roman" w:cs="Times New Roman" w:hint="eastAsia"/>
          <w:sz w:val="24"/>
          <w:szCs w:val="24"/>
          <w:lang w:val="en-US"/>
        </w:rPr>
        <w:t>202</w:t>
      </w:r>
      <w:r w:rsidR="00CF21C5">
        <w:rPr>
          <w:rFonts w:ascii="Times New Roman" w:hAnsi="Times New Roman" w:cs="Times New Roman"/>
          <w:sz w:val="24"/>
          <w:szCs w:val="24"/>
          <w:lang w:val="en-US"/>
        </w:rPr>
        <w:t>3</w:t>
      </w:r>
      <w:r>
        <w:rPr>
          <w:rFonts w:ascii="Times New Roman" w:hAnsi="Times New Roman" w:cs="Times New Roman" w:hint="eastAsia"/>
          <w:sz w:val="24"/>
          <w:szCs w:val="24"/>
          <w:lang w:val="en-US"/>
        </w:rPr>
        <w:t>年版）</w:t>
      </w:r>
    </w:p>
    <w:p w:rsidR="00C90EBB" w:rsidRDefault="00192071">
      <w:pPr>
        <w:pStyle w:val="1"/>
        <w:numPr>
          <w:ilvl w:val="0"/>
          <w:numId w:val="1"/>
        </w:numPr>
        <w:spacing w:after="0"/>
        <w:rPr>
          <w:lang w:val="en-US"/>
        </w:rPr>
      </w:pPr>
      <w:r>
        <w:rPr>
          <w:rFonts w:hint="eastAsia"/>
          <w:lang w:val="en-US"/>
        </w:rPr>
        <w:t>可再循环材料比例计算</w:t>
      </w:r>
    </w:p>
    <w:tbl>
      <w:tblPr>
        <w:tblW w:w="4998" w:type="pct"/>
        <w:tblLook w:val="04A0" w:firstRow="1" w:lastRow="0" w:firstColumn="1" w:lastColumn="0" w:noHBand="0" w:noVBand="1"/>
      </w:tblPr>
      <w:tblGrid>
        <w:gridCol w:w="1206"/>
        <w:gridCol w:w="1211"/>
        <w:gridCol w:w="1643"/>
        <w:gridCol w:w="1469"/>
        <w:gridCol w:w="1406"/>
        <w:gridCol w:w="1362"/>
      </w:tblGrid>
      <w:tr w:rsidR="00C90EBB">
        <w:trPr>
          <w:trHeight w:val="765"/>
        </w:trPr>
        <w:tc>
          <w:tcPr>
            <w:tcW w:w="145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建筑材料种类</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重量（</w:t>
            </w:r>
            <w:r>
              <w:rPr>
                <w:rFonts w:ascii="Times New Roman" w:hAnsi="Times New Roman" w:cs="Times New Roman"/>
                <w:color w:val="000000"/>
                <w:sz w:val="21"/>
                <w:szCs w:val="21"/>
                <w:lang w:val="en-US" w:bidi="ar"/>
              </w:rPr>
              <w:t>kg</w:t>
            </w:r>
            <w:r>
              <w:rPr>
                <w:rFonts w:ascii="Times New Roman" w:hAnsi="Times New Roman" w:cs="Times New Roman"/>
                <w:color w:val="000000"/>
                <w:sz w:val="21"/>
                <w:szCs w:val="21"/>
                <w:lang w:val="en-US" w:bidi="ar"/>
              </w:rPr>
              <w:t>）</w:t>
            </w:r>
          </w:p>
        </w:tc>
        <w:tc>
          <w:tcPr>
            <w:tcW w:w="8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可再循环材料总重量（</w:t>
            </w:r>
            <w:r>
              <w:rPr>
                <w:rFonts w:ascii="Times New Roman" w:hAnsi="Times New Roman" w:cs="Times New Roman"/>
                <w:color w:val="000000"/>
                <w:sz w:val="21"/>
                <w:szCs w:val="21"/>
                <w:lang w:val="en-US" w:bidi="ar"/>
              </w:rPr>
              <w:t>kg</w:t>
            </w:r>
            <w:r>
              <w:rPr>
                <w:rFonts w:ascii="Times New Roman" w:hAnsi="Times New Roman" w:cs="Times New Roman"/>
                <w:color w:val="000000"/>
                <w:sz w:val="21"/>
                <w:szCs w:val="21"/>
                <w:lang w:val="en-US" w:bidi="ar"/>
              </w:rPr>
              <w:t>）</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建筑材料总重量（</w:t>
            </w:r>
            <w:r>
              <w:rPr>
                <w:rFonts w:ascii="Times New Roman" w:hAnsi="Times New Roman" w:cs="Times New Roman"/>
                <w:color w:val="000000"/>
                <w:sz w:val="21"/>
                <w:szCs w:val="21"/>
                <w:lang w:val="en-US" w:bidi="ar"/>
              </w:rPr>
              <w:t>kg</w:t>
            </w:r>
            <w:r>
              <w:rPr>
                <w:rFonts w:ascii="Times New Roman" w:hAnsi="Times New Roman" w:cs="Times New Roman"/>
                <w:color w:val="000000"/>
                <w:sz w:val="21"/>
                <w:szCs w:val="21"/>
                <w:lang w:val="en-US" w:bidi="ar"/>
              </w:rPr>
              <w:t>）</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可再循环材料重量比例</w:t>
            </w:r>
          </w:p>
        </w:tc>
      </w:tr>
      <w:tr w:rsidR="00C90EBB">
        <w:trPr>
          <w:trHeight w:val="270"/>
        </w:trPr>
        <w:tc>
          <w:tcPr>
            <w:tcW w:w="7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可再循环材料</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普通钢材</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rsidP="00437FC3">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17</w:t>
            </w:r>
            <w:r w:rsidR="00437FC3">
              <w:rPr>
                <w:rFonts w:ascii="Times New Roman" w:hAnsi="Times New Roman" w:cs="Times New Roman"/>
                <w:color w:val="000000"/>
                <w:sz w:val="21"/>
                <w:szCs w:val="21"/>
                <w:lang w:val="en-US" w:bidi="ar"/>
              </w:rPr>
              <w:t>3842.31</w:t>
            </w:r>
          </w:p>
        </w:tc>
        <w:tc>
          <w:tcPr>
            <w:tcW w:w="8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646942.85</w:t>
            </w:r>
            <w:r w:rsidR="00192071">
              <w:rPr>
                <w:rFonts w:ascii="Times New Roman" w:hAnsi="Times New Roman" w:cs="Times New Roman"/>
                <w:color w:val="000000"/>
                <w:sz w:val="21"/>
                <w:szCs w:val="21"/>
                <w:lang w:val="en-US" w:bidi="ar"/>
              </w:rPr>
              <w:t xml:space="preserve"> </w:t>
            </w:r>
          </w:p>
        </w:tc>
        <w:tc>
          <w:tcPr>
            <w:tcW w:w="8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rsidP="00E85E80">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5934724.96</w:t>
            </w:r>
            <w:r w:rsidR="00192071">
              <w:rPr>
                <w:rFonts w:ascii="Times New Roman" w:hAnsi="Times New Roman" w:cs="Times New Roman"/>
                <w:color w:val="000000"/>
                <w:sz w:val="21"/>
                <w:szCs w:val="21"/>
                <w:lang w:val="en-US" w:bidi="ar"/>
              </w:rPr>
              <w:t xml:space="preserve"> </w:t>
            </w: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rsidP="00E85E80">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10.</w:t>
            </w:r>
            <w:r w:rsidR="00E85E80">
              <w:rPr>
                <w:rFonts w:ascii="Times New Roman" w:hAnsi="Times New Roman" w:cs="Times New Roman"/>
                <w:color w:val="000000"/>
                <w:sz w:val="21"/>
                <w:szCs w:val="21"/>
                <w:lang w:val="en-US" w:bidi="ar"/>
              </w:rPr>
              <w:t>90</w:t>
            </w:r>
            <w:r>
              <w:rPr>
                <w:rFonts w:ascii="Times New Roman" w:hAnsi="Times New Roman" w:cs="Times New Roman"/>
                <w:color w:val="000000"/>
                <w:sz w:val="21"/>
                <w:szCs w:val="21"/>
                <w:lang w:val="en-US" w:bidi="ar"/>
              </w:rPr>
              <w:t>%</w:t>
            </w: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钢筋</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437FC3" w:rsidP="00E85E80">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3</w:t>
            </w:r>
            <w:r w:rsidR="00E85E80">
              <w:rPr>
                <w:rFonts w:ascii="Times New Roman" w:hAnsi="Times New Roman" w:cs="Times New Roman"/>
                <w:color w:val="000000"/>
                <w:sz w:val="21"/>
                <w:szCs w:val="21"/>
                <w:lang w:val="en-US" w:bidi="ar"/>
              </w:rPr>
              <w:t>7</w:t>
            </w:r>
            <w:r>
              <w:rPr>
                <w:rFonts w:ascii="Times New Roman" w:hAnsi="Times New Roman" w:cs="Times New Roman"/>
                <w:color w:val="000000"/>
                <w:sz w:val="21"/>
                <w:szCs w:val="21"/>
                <w:lang w:val="en-US" w:bidi="ar"/>
              </w:rPr>
              <w:t>6623</w:t>
            </w:r>
            <w:r w:rsidRPr="00437FC3">
              <w:rPr>
                <w:rFonts w:ascii="Times New Roman" w:hAnsi="Times New Roman" w:cs="Times New Roman"/>
                <w:color w:val="000000"/>
                <w:sz w:val="21"/>
                <w:szCs w:val="21"/>
                <w:lang w:val="en-US" w:bidi="ar"/>
              </w:rPr>
              <w:t>.</w:t>
            </w:r>
            <w:r>
              <w:rPr>
                <w:rFonts w:ascii="Times New Roman" w:hAnsi="Times New Roman" w:cs="Times New Roman"/>
                <w:color w:val="000000"/>
                <w:sz w:val="21"/>
                <w:szCs w:val="21"/>
                <w:lang w:val="en-US" w:bidi="ar"/>
              </w:rPr>
              <w:t>75</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玻璃</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rsidP="00437FC3">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6</w:t>
            </w:r>
            <w:r w:rsidR="00437FC3">
              <w:rPr>
                <w:rFonts w:ascii="Times New Roman" w:hAnsi="Times New Roman" w:cs="Times New Roman"/>
                <w:color w:val="000000"/>
                <w:sz w:val="21"/>
                <w:szCs w:val="21"/>
                <w:lang w:val="en-US" w:bidi="ar"/>
              </w:rPr>
              <w:t>1365</w:t>
            </w:r>
            <w:r w:rsidR="00192071">
              <w:rPr>
                <w:rFonts w:ascii="Times New Roman" w:hAnsi="Times New Roman" w:cs="Times New Roman"/>
                <w:color w:val="000000"/>
                <w:sz w:val="21"/>
                <w:szCs w:val="21"/>
                <w:lang w:val="en-US" w:bidi="ar"/>
              </w:rPr>
              <w:t>.</w:t>
            </w:r>
            <w:r w:rsidR="00437FC3">
              <w:rPr>
                <w:rFonts w:ascii="Times New Roman" w:hAnsi="Times New Roman" w:cs="Times New Roman"/>
                <w:color w:val="000000"/>
                <w:sz w:val="21"/>
                <w:szCs w:val="21"/>
                <w:lang w:val="en-US" w:bidi="ar"/>
              </w:rPr>
              <w:t>76</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铝合金</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rsidP="00E85E80">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29</w:t>
            </w:r>
            <w:r w:rsidR="00192071">
              <w:rPr>
                <w:rFonts w:ascii="Times New Roman" w:hAnsi="Times New Roman" w:cs="Times New Roman"/>
                <w:color w:val="000000"/>
                <w:sz w:val="21"/>
                <w:szCs w:val="21"/>
                <w:lang w:val="en-US" w:bidi="ar"/>
              </w:rPr>
              <w:t>6</w:t>
            </w:r>
            <w:r w:rsidR="00437FC3">
              <w:rPr>
                <w:rFonts w:ascii="Times New Roman" w:hAnsi="Times New Roman" w:cs="Times New Roman"/>
                <w:color w:val="000000"/>
                <w:sz w:val="21"/>
                <w:szCs w:val="21"/>
                <w:lang w:val="en-US" w:bidi="ar"/>
              </w:rPr>
              <w:t>23</w:t>
            </w:r>
            <w:r w:rsidR="00192071">
              <w:rPr>
                <w:rFonts w:ascii="Times New Roman" w:hAnsi="Times New Roman" w:cs="Times New Roman"/>
                <w:color w:val="000000"/>
                <w:sz w:val="21"/>
                <w:szCs w:val="21"/>
                <w:lang w:val="en-US" w:bidi="ar"/>
              </w:rPr>
              <w:t>.</w:t>
            </w:r>
            <w:r w:rsidR="00437FC3">
              <w:rPr>
                <w:rFonts w:ascii="Times New Roman" w:hAnsi="Times New Roman" w:cs="Times New Roman"/>
                <w:color w:val="000000"/>
                <w:sz w:val="21"/>
                <w:szCs w:val="21"/>
                <w:lang w:val="en-US" w:bidi="ar"/>
              </w:rPr>
              <w:t>19</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铝板</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437FC3">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5487.84</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不可循环材料</w:t>
            </w: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砌体砖</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59</w:t>
            </w:r>
            <w:r w:rsidR="00192071">
              <w:rPr>
                <w:rFonts w:ascii="Times New Roman" w:hAnsi="Times New Roman" w:cs="Times New Roman"/>
                <w:color w:val="000000"/>
                <w:sz w:val="21"/>
                <w:szCs w:val="21"/>
                <w:lang w:val="en-US" w:bidi="ar"/>
              </w:rPr>
              <w:t xml:space="preserve">3097.37 </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商品砼</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437FC3" w:rsidP="00437FC3">
            <w:pPr>
              <w:widowControl/>
              <w:jc w:val="center"/>
              <w:textAlignment w:val="center"/>
              <w:rPr>
                <w:rFonts w:ascii="Times New Roman" w:hAnsi="Times New Roman" w:cs="Times New Roman"/>
                <w:color w:val="000000"/>
                <w:sz w:val="21"/>
                <w:szCs w:val="21"/>
              </w:rPr>
            </w:pPr>
            <w:r>
              <w:t>4</w:t>
            </w:r>
            <w:r>
              <w:t>27</w:t>
            </w:r>
            <w:r>
              <w:t>2</w:t>
            </w:r>
            <w:r>
              <w:t>3</w:t>
            </w:r>
            <w:r>
              <w:t>94.</w:t>
            </w:r>
            <w:r>
              <w:t>32</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砂浆</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437FC3" w:rsidP="00437FC3">
            <w:pPr>
              <w:widowControl/>
              <w:jc w:val="center"/>
              <w:textAlignment w:val="center"/>
              <w:rPr>
                <w:rFonts w:ascii="Times New Roman" w:hAnsi="Times New Roman" w:cs="Times New Roman"/>
                <w:color w:val="000000"/>
                <w:sz w:val="21"/>
                <w:szCs w:val="21"/>
              </w:rPr>
            </w:pPr>
            <w:r>
              <w:t>976332</w:t>
            </w:r>
            <w:r>
              <w:t>.</w:t>
            </w:r>
            <w:r>
              <w:t>13</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防水材料</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437FC3" w:rsidP="00437FC3">
            <w:pPr>
              <w:widowControl/>
              <w:jc w:val="center"/>
              <w:textAlignment w:val="center"/>
              <w:rPr>
                <w:rFonts w:ascii="Times New Roman" w:hAnsi="Times New Roman" w:cs="Times New Roman"/>
                <w:color w:val="000000"/>
                <w:sz w:val="21"/>
                <w:szCs w:val="21"/>
              </w:rPr>
            </w:pPr>
            <w:r w:rsidRPr="00437FC3">
              <w:rPr>
                <w:rFonts w:ascii="Times New Roman" w:hAnsi="Times New Roman" w:cs="Times New Roman"/>
                <w:color w:val="000000"/>
                <w:sz w:val="21"/>
                <w:szCs w:val="21"/>
                <w:lang w:val="en-US" w:bidi="ar"/>
              </w:rPr>
              <w:t>33235.</w:t>
            </w:r>
            <w:r w:rsidRPr="00437FC3">
              <w:rPr>
                <w:rFonts w:ascii="Times New Roman" w:hAnsi="Times New Roman" w:cs="Times New Roman"/>
                <w:color w:val="000000"/>
                <w:sz w:val="21"/>
                <w:szCs w:val="21"/>
                <w:lang w:val="en-US" w:bidi="ar"/>
              </w:rPr>
              <w:t>79</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r w:rsidR="00C90EBB">
        <w:trPr>
          <w:trHeight w:val="270"/>
        </w:trPr>
        <w:tc>
          <w:tcPr>
            <w:tcW w:w="7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0EBB" w:rsidRDefault="00192071">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保温材料</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E85E80" w:rsidP="00437FC3">
            <w:pPr>
              <w:widowControl/>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59</w:t>
            </w:r>
            <w:r w:rsidR="00437FC3" w:rsidRPr="00437FC3">
              <w:rPr>
                <w:rFonts w:ascii="Times New Roman" w:hAnsi="Times New Roman" w:cs="Times New Roman"/>
                <w:color w:val="000000"/>
                <w:sz w:val="21"/>
                <w:szCs w:val="21"/>
                <w:lang w:val="en-US" w:bidi="ar"/>
              </w:rPr>
              <w:t>664</w:t>
            </w:r>
            <w:r w:rsidR="00437FC3" w:rsidRPr="00437FC3">
              <w:rPr>
                <w:rFonts w:ascii="Times New Roman" w:hAnsi="Times New Roman" w:cs="Times New Roman"/>
                <w:color w:val="000000"/>
                <w:sz w:val="21"/>
                <w:szCs w:val="21"/>
                <w:lang w:val="en-US" w:bidi="ar"/>
              </w:rPr>
              <w:t>.</w:t>
            </w:r>
            <w:r w:rsidR="00437FC3" w:rsidRPr="00437FC3">
              <w:rPr>
                <w:rFonts w:ascii="Times New Roman" w:hAnsi="Times New Roman" w:cs="Times New Roman"/>
                <w:color w:val="000000"/>
                <w:sz w:val="21"/>
                <w:szCs w:val="21"/>
                <w:lang w:val="en-US" w:bidi="ar"/>
              </w:rPr>
              <w:t>35</w:t>
            </w:r>
          </w:p>
        </w:tc>
        <w:tc>
          <w:tcPr>
            <w:tcW w:w="8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0EBB" w:rsidRDefault="00C90EBB">
            <w:pPr>
              <w:jc w:val="center"/>
              <w:rPr>
                <w:rFonts w:ascii="Times New Roman" w:hAnsi="Times New Roman" w:cs="Times New Roman"/>
                <w:color w:val="000000"/>
                <w:sz w:val="21"/>
                <w:szCs w:val="21"/>
              </w:rPr>
            </w:pPr>
          </w:p>
        </w:tc>
      </w:tr>
    </w:tbl>
    <w:p w:rsidR="00C90EBB" w:rsidRDefault="00192071">
      <w:pPr>
        <w:pStyle w:val="1"/>
        <w:numPr>
          <w:ilvl w:val="0"/>
          <w:numId w:val="1"/>
        </w:numPr>
        <w:spacing w:after="0"/>
        <w:rPr>
          <w:lang w:val="en-US"/>
        </w:rPr>
      </w:pPr>
      <w:r>
        <w:rPr>
          <w:rFonts w:hint="eastAsia"/>
          <w:lang w:val="en-US"/>
        </w:rPr>
        <w:t>结论</w:t>
      </w:r>
    </w:p>
    <w:p w:rsidR="00C90EBB" w:rsidRDefault="00192071">
      <w:pPr>
        <w:autoSpaceDE/>
        <w:autoSpaceDN/>
        <w:spacing w:line="36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由上述可知本项目可再循环材料使用重量占所用建筑材料总重量的比例为</w:t>
      </w:r>
      <w:r>
        <w:rPr>
          <w:rFonts w:ascii="Times New Roman" w:hAnsi="Times New Roman" w:cs="Times New Roman" w:hint="eastAsia"/>
          <w:sz w:val="24"/>
          <w:szCs w:val="24"/>
          <w:lang w:val="en-US"/>
        </w:rPr>
        <w:t>10.</w:t>
      </w:r>
      <w:r w:rsidR="00E85E80">
        <w:rPr>
          <w:rFonts w:ascii="Times New Roman" w:hAnsi="Times New Roman" w:cs="Times New Roman"/>
          <w:sz w:val="24"/>
          <w:szCs w:val="24"/>
          <w:lang w:val="en-US"/>
        </w:rPr>
        <w:t>90</w:t>
      </w:r>
      <w:bookmarkStart w:id="1" w:name="_GoBack"/>
      <w:bookmarkEnd w:id="1"/>
      <w:r>
        <w:rPr>
          <w:rFonts w:ascii="Times New Roman" w:hAnsi="Times New Roman" w:cs="Times New Roman" w:hint="eastAsia"/>
          <w:sz w:val="24"/>
          <w:szCs w:val="24"/>
          <w:lang w:val="en-US"/>
        </w:rPr>
        <w:t>%</w:t>
      </w:r>
      <w:r>
        <w:rPr>
          <w:rFonts w:ascii="Times New Roman" w:hAnsi="Times New Roman" w:cs="Times New Roman" w:hint="eastAsia"/>
          <w:sz w:val="24"/>
          <w:szCs w:val="24"/>
          <w:lang w:val="en-US"/>
        </w:rPr>
        <w:t>，</w:t>
      </w:r>
      <w:r>
        <w:rPr>
          <w:rFonts w:ascii="Times New Roman" w:hAnsi="Times New Roman" w:cs="Times New Roman"/>
          <w:sz w:val="24"/>
          <w:szCs w:val="24"/>
          <w:lang w:val="en-US"/>
        </w:rPr>
        <w:t>大于</w:t>
      </w:r>
      <w:r>
        <w:rPr>
          <w:rFonts w:ascii="Times New Roman" w:hAnsi="Times New Roman" w:cs="Times New Roman"/>
          <w:sz w:val="24"/>
          <w:szCs w:val="24"/>
          <w:lang w:val="en-US"/>
        </w:rPr>
        <w:t>10%</w:t>
      </w:r>
      <w:r>
        <w:rPr>
          <w:rFonts w:ascii="Times New Roman" w:hAnsi="Times New Roman" w:cs="Times New Roman" w:hint="eastAsia"/>
          <w:sz w:val="24"/>
          <w:szCs w:val="24"/>
          <w:lang w:val="en-US"/>
        </w:rPr>
        <w:t>，</w:t>
      </w:r>
      <w:r>
        <w:rPr>
          <w:rFonts w:ascii="Times New Roman" w:hAnsi="Times New Roman" w:cs="Times New Roman"/>
          <w:sz w:val="24"/>
          <w:szCs w:val="24"/>
          <w:lang w:val="en-US"/>
        </w:rPr>
        <w:t>满足</w:t>
      </w:r>
      <w:r>
        <w:rPr>
          <w:rFonts w:ascii="Times New Roman" w:hAnsi="Times New Roman" w:cs="Times New Roman" w:hint="eastAsia"/>
          <w:sz w:val="24"/>
          <w:szCs w:val="24"/>
          <w:lang w:val="en-US"/>
        </w:rPr>
        <w:t>相关标准</w:t>
      </w:r>
      <w:r>
        <w:rPr>
          <w:rFonts w:ascii="Times New Roman" w:hAnsi="Times New Roman" w:cs="Times New Roman"/>
          <w:sz w:val="24"/>
          <w:szCs w:val="24"/>
          <w:lang w:val="en-US"/>
        </w:rPr>
        <w:t>要求。</w:t>
      </w:r>
    </w:p>
    <w:sectPr w:rsidR="00C90EBB">
      <w:footerReference w:type="default" r:id="rId9"/>
      <w:pgSz w:w="11910"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76E" w:rsidRDefault="00E2776E">
      <w:r>
        <w:separator/>
      </w:r>
    </w:p>
  </w:endnote>
  <w:endnote w:type="continuationSeparator" w:id="0">
    <w:p w:rsidR="00E2776E" w:rsidRDefault="00E2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Segoe U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BB" w:rsidRDefault="00CF21C5">
    <w:pPr>
      <w:pStyle w:val="a9"/>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EBB" w:rsidRDefault="00192071">
                          <w:pPr>
                            <w:pStyle w:val="a9"/>
                          </w:pPr>
                          <w:r>
                            <w:fldChar w:fldCharType="begin"/>
                          </w:r>
                          <w:r>
                            <w:instrText xml:space="preserve"> PAGE  \* MERGEFORMAT </w:instrText>
                          </w:r>
                          <w:r>
                            <w:fldChar w:fldCharType="separate"/>
                          </w:r>
                          <w:r w:rsidR="00E85E80">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" filled="f" stroked="f">
              <v:textbox style="mso-fit-shape-to-text:t" inset="0,0,0,0">
                <w:txbxContent>
                  <w:p w:rsidR="00C90EBB" w:rsidRDefault="00192071">
                    <w:pPr>
                      <w:pStyle w:val="a9"/>
                    </w:pPr>
                    <w:r>
                      <w:fldChar w:fldCharType="begin"/>
                    </w:r>
                    <w:r>
                      <w:instrText xml:space="preserve"> PAGE  \* MERGEFORMAT </w:instrText>
                    </w:r>
                    <w:r>
                      <w:fldChar w:fldCharType="separate"/>
                    </w:r>
                    <w:r w:rsidR="00E85E8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76E" w:rsidRDefault="00E2776E">
      <w:r>
        <w:separator/>
      </w:r>
    </w:p>
  </w:footnote>
  <w:footnote w:type="continuationSeparator" w:id="0">
    <w:p w:rsidR="00E2776E" w:rsidRDefault="00E277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D42FB"/>
    <w:multiLevelType w:val="singleLevel"/>
    <w:tmpl w:val="59ED42F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iYmRhY2RhNGJmOTlkYTc2MmIwYzMwZmUyZGUwYmMifQ=="/>
  </w:docVars>
  <w:rsids>
    <w:rsidRoot w:val="00C90EBB"/>
    <w:rsid w:val="00192071"/>
    <w:rsid w:val="00437FC3"/>
    <w:rsid w:val="00C90EBB"/>
    <w:rsid w:val="00CF21C5"/>
    <w:rsid w:val="00E2776E"/>
    <w:rsid w:val="00E85E80"/>
    <w:rsid w:val="037574E1"/>
    <w:rsid w:val="05ED6CAA"/>
    <w:rsid w:val="06FD66C2"/>
    <w:rsid w:val="076A5C8D"/>
    <w:rsid w:val="08D72ECF"/>
    <w:rsid w:val="0C992894"/>
    <w:rsid w:val="10E573FB"/>
    <w:rsid w:val="12F615EE"/>
    <w:rsid w:val="13A10980"/>
    <w:rsid w:val="14A65665"/>
    <w:rsid w:val="157A64CD"/>
    <w:rsid w:val="17181A22"/>
    <w:rsid w:val="17E44CEB"/>
    <w:rsid w:val="191C08AB"/>
    <w:rsid w:val="1B301DA6"/>
    <w:rsid w:val="1D09251F"/>
    <w:rsid w:val="1D4420C4"/>
    <w:rsid w:val="1FDA4138"/>
    <w:rsid w:val="215C59A2"/>
    <w:rsid w:val="220B2EBB"/>
    <w:rsid w:val="230A54DC"/>
    <w:rsid w:val="23D72650"/>
    <w:rsid w:val="23E921F6"/>
    <w:rsid w:val="26EB23EE"/>
    <w:rsid w:val="270C7858"/>
    <w:rsid w:val="2899169D"/>
    <w:rsid w:val="2BB27B54"/>
    <w:rsid w:val="2C8B6C63"/>
    <w:rsid w:val="2CB5704A"/>
    <w:rsid w:val="2E8E740E"/>
    <w:rsid w:val="2E9D29C9"/>
    <w:rsid w:val="2EBD6FE2"/>
    <w:rsid w:val="2F134D00"/>
    <w:rsid w:val="30456172"/>
    <w:rsid w:val="357D64B6"/>
    <w:rsid w:val="37901BE2"/>
    <w:rsid w:val="382F28E9"/>
    <w:rsid w:val="39E210F9"/>
    <w:rsid w:val="3B515597"/>
    <w:rsid w:val="3B804945"/>
    <w:rsid w:val="3C225696"/>
    <w:rsid w:val="3CEA1184"/>
    <w:rsid w:val="3DDF370F"/>
    <w:rsid w:val="3E515A06"/>
    <w:rsid w:val="40E96853"/>
    <w:rsid w:val="40ED32DF"/>
    <w:rsid w:val="41DB4DCA"/>
    <w:rsid w:val="42747661"/>
    <w:rsid w:val="42C31FDF"/>
    <w:rsid w:val="42C7144A"/>
    <w:rsid w:val="42CB4B3C"/>
    <w:rsid w:val="42FE0E2D"/>
    <w:rsid w:val="44C7688B"/>
    <w:rsid w:val="46B53A7E"/>
    <w:rsid w:val="48A8413E"/>
    <w:rsid w:val="4C020D51"/>
    <w:rsid w:val="4DFB246B"/>
    <w:rsid w:val="5065404C"/>
    <w:rsid w:val="51125AA6"/>
    <w:rsid w:val="51766F82"/>
    <w:rsid w:val="52E552BC"/>
    <w:rsid w:val="53B7749A"/>
    <w:rsid w:val="545744D3"/>
    <w:rsid w:val="54EA13F1"/>
    <w:rsid w:val="55A24363"/>
    <w:rsid w:val="56EB3AA9"/>
    <w:rsid w:val="588A1458"/>
    <w:rsid w:val="594E3A95"/>
    <w:rsid w:val="5B616B01"/>
    <w:rsid w:val="5CFA0FC5"/>
    <w:rsid w:val="5D13067F"/>
    <w:rsid w:val="60E46E50"/>
    <w:rsid w:val="610C237A"/>
    <w:rsid w:val="634F24A8"/>
    <w:rsid w:val="67D9329B"/>
    <w:rsid w:val="692B5626"/>
    <w:rsid w:val="69EE7553"/>
    <w:rsid w:val="6A3806B3"/>
    <w:rsid w:val="6A3D531E"/>
    <w:rsid w:val="6C7C510C"/>
    <w:rsid w:val="6D042A0F"/>
    <w:rsid w:val="6E3866E0"/>
    <w:rsid w:val="6F8C4213"/>
    <w:rsid w:val="726F3756"/>
    <w:rsid w:val="737F48B1"/>
    <w:rsid w:val="73DA5FAC"/>
    <w:rsid w:val="73FE2774"/>
    <w:rsid w:val="764919A9"/>
    <w:rsid w:val="765367D8"/>
    <w:rsid w:val="77B803C8"/>
    <w:rsid w:val="796F456A"/>
    <w:rsid w:val="7AFB1658"/>
    <w:rsid w:val="7C3726F1"/>
    <w:rsid w:val="7D2D3723"/>
    <w:rsid w:val="7DC41C84"/>
    <w:rsid w:val="7FA0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DD8D7"/>
  <w15:docId w15:val="{B2A6EBB0-C3B5-4013-B52A-71F9C2BF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after="120" w:line="360" w:lineRule="auto"/>
      <w:outlineLvl w:val="0"/>
    </w:pPr>
    <w:rPr>
      <w:rFonts w:ascii="黑体" w:eastAsia="黑体" w:hAnsi="黑体" w:cs="黑体"/>
      <w:sz w:val="30"/>
      <w:szCs w:val="30"/>
    </w:rPr>
  </w:style>
  <w:style w:type="paragraph" w:styleId="20">
    <w:name w:val="heading 2"/>
    <w:basedOn w:val="a"/>
    <w:next w:val="a"/>
    <w:unhideWhenUsed/>
    <w:qFormat/>
    <w:pPr>
      <w:keepNext/>
      <w:keepLines/>
      <w:spacing w:line="360"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rPr>
      <w:sz w:val="21"/>
    </w:rPr>
  </w:style>
  <w:style w:type="paragraph" w:styleId="a3">
    <w:name w:val="Body Text Indent"/>
    <w:basedOn w:val="a"/>
    <w:next w:val="a5"/>
    <w:qFormat/>
    <w:pPr>
      <w:spacing w:after="120"/>
      <w:ind w:leftChars="200" w:left="420"/>
    </w:pPr>
    <w:rPr>
      <w:szCs w:val="24"/>
    </w:rPr>
  </w:style>
  <w:style w:type="paragraph" w:styleId="a5">
    <w:name w:val="envelope return"/>
    <w:basedOn w:val="a"/>
    <w:qFormat/>
    <w:pPr>
      <w:snapToGrid w:val="0"/>
    </w:pPr>
    <w:rPr>
      <w:rFonts w:ascii="Arial" w:hAnsi="Arial"/>
    </w:rPr>
  </w:style>
  <w:style w:type="paragraph" w:styleId="a4">
    <w:name w:val="Body Text First Indent"/>
    <w:basedOn w:val="a6"/>
    <w:next w:val="a3"/>
    <w:qFormat/>
    <w:pPr>
      <w:ind w:firstLineChars="100" w:firstLine="420"/>
      <w:jc w:val="both"/>
    </w:pPr>
  </w:style>
  <w:style w:type="paragraph" w:styleId="a6">
    <w:name w:val="Body Text"/>
    <w:basedOn w:val="a"/>
    <w:next w:val="a7"/>
    <w:uiPriority w:val="1"/>
    <w:qFormat/>
    <w:rPr>
      <w:sz w:val="24"/>
      <w:szCs w:val="24"/>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annotation text"/>
    <w:basedOn w:val="a"/>
    <w:qFormat/>
  </w:style>
  <w:style w:type="paragraph" w:styleId="a9">
    <w:name w:val="footer"/>
    <w:basedOn w:val="a"/>
    <w:qFormat/>
    <w:pPr>
      <w:tabs>
        <w:tab w:val="center" w:pos="4153"/>
        <w:tab w:val="right" w:pos="8306"/>
      </w:tabs>
      <w:snapToGrid w:val="0"/>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line="360" w:lineRule="auto"/>
    </w:pPr>
    <w:rPr>
      <w:rFonts w:ascii="黑体" w:eastAsia="黑体" w:hAnsi="黑体" w:cs="黑体"/>
    </w:rPr>
  </w:style>
  <w:style w:type="paragraph" w:customStyle="1" w:styleId="TableParagraph">
    <w:name w:val="Table Paragraph"/>
    <w:basedOn w:val="a"/>
    <w:uiPriority w:val="1"/>
    <w:qFormat/>
    <w:rPr>
      <w:rFonts w:ascii="Times New Roman" w:eastAsia="Times New Roman" w:hAnsi="Times New Roman" w:cs="Times New Roman"/>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装饰性构件功能说明书</dc:title>
  <dc:creator>User</dc:creator>
  <cp:lastModifiedBy>有容</cp:lastModifiedBy>
  <cp:revision>2</cp:revision>
  <dcterms:created xsi:type="dcterms:W3CDTF">2023-11-27T08:53:00Z</dcterms:created>
  <dcterms:modified xsi:type="dcterms:W3CDTF">2023-11-27T08:53:00Z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WPS 文字</vt:lpwstr>
  </property>
  <property fmtid="{D5CDD505-2E9C-101B-9397-08002B2CF9AE}" pid="4" name="LastSaved">
    <vt:filetime>2020-08-03T00:00:00Z</vt:filetime>
  </property>
  <property fmtid="{D5CDD505-2E9C-101B-9397-08002B2CF9AE}" pid="5" name="KSOProductBuildVer">
    <vt:lpwstr>2052-11.1.0.13703</vt:lpwstr>
  </property>
  <property fmtid="{D5CDD505-2E9C-101B-9397-08002B2CF9AE}" pid="6" name="ICV">
    <vt:lpwstr>63926C81C60D48C0B50E83FCBC8217A7</vt:lpwstr>
  </property>
  <property fmtid="{D5CDD505-2E9C-101B-9397-08002B2CF9AE}" pid="7" name="commondata">
    <vt:lpwstr>eyJoZGlkIjoiYjVmOTIwMTJjZDRiMjJjN2UyOGZlMWZkOGM2YTUyNmYifQ==</vt:lpwstr>
  </property>
</Properties>
</file>