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湖南省绿色建筑工程初步设计审查表（公共建筑）-建筑专业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填表日期：  年  月  日</w:t>
      </w:r>
    </w:p>
    <w:tbl>
      <w:tblPr>
        <w:tblStyle w:val="2"/>
        <w:tblW w:w="52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3"/>
        <w:gridCol w:w="741"/>
        <w:gridCol w:w="463"/>
        <w:gridCol w:w="1188"/>
        <w:gridCol w:w="2184"/>
        <w:gridCol w:w="1881"/>
        <w:gridCol w:w="875"/>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3966" w:type="pct"/>
            <w:gridSpan w:val="5"/>
            <w:vAlign w:val="center"/>
          </w:tcPr>
          <w:p>
            <w:pPr>
              <w:bidi w:val="0"/>
              <w:jc w:val="lef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净用地面积（㎡）</w:t>
            </w:r>
          </w:p>
        </w:tc>
        <w:tc>
          <w:tcPr>
            <w:tcW w:w="1916" w:type="pct"/>
            <w:gridSpan w:val="2"/>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总建筑面积（㎡）</w:t>
            </w:r>
          </w:p>
        </w:tc>
        <w:tc>
          <w:tcPr>
            <w:tcW w:w="980"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1916" w:type="pct"/>
            <w:gridSpan w:val="2"/>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w:t>
            </w:r>
          </w:p>
        </w:tc>
        <w:tc>
          <w:tcPr>
            <w:tcW w:w="980"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916" w:type="pct"/>
            <w:gridSpan w:val="2"/>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设计单位联系人</w:t>
            </w:r>
          </w:p>
        </w:tc>
        <w:tc>
          <w:tcPr>
            <w:tcW w:w="980"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916" w:type="pct"/>
            <w:gridSpan w:val="2"/>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980"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3"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916" w:type="pct"/>
            <w:gridSpan w:val="2"/>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980"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70"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条款编号</w:t>
            </w:r>
          </w:p>
        </w:tc>
        <w:tc>
          <w:tcPr>
            <w:tcW w:w="938" w:type="pct"/>
            <w:gridSpan w:val="2"/>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项目实际情况</w:t>
            </w:r>
          </w:p>
        </w:tc>
        <w:tc>
          <w:tcPr>
            <w:tcW w:w="1240"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设计具体做法说明</w:t>
            </w:r>
          </w:p>
        </w:tc>
        <w:tc>
          <w:tcPr>
            <w:tcW w:w="1069"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证明材料</w:t>
            </w:r>
          </w:p>
        </w:tc>
        <w:tc>
          <w:tcPr>
            <w:tcW w:w="497"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自查意见</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（是否达标）</w:t>
            </w:r>
          </w:p>
        </w:tc>
        <w:tc>
          <w:tcPr>
            <w:tcW w:w="483"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审查意见（是否 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49"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设计要点</w:t>
            </w:r>
          </w:p>
        </w:tc>
        <w:tc>
          <w:tcPr>
            <w:tcW w:w="42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审查要点</w:t>
            </w:r>
          </w:p>
        </w:tc>
        <w:tc>
          <w:tcPr>
            <w:tcW w:w="938" w:type="pct"/>
            <w:gridSpan w:val="2"/>
            <w:vMerge w:val="continue"/>
            <w:tcBorders>
              <w:top w:val="nil"/>
            </w:tcBorders>
            <w:vAlign w:val="center"/>
          </w:tcPr>
          <w:p>
            <w:pPr>
              <w:bidi w:val="0"/>
              <w:jc w:val="center"/>
              <w:rPr>
                <w:rFonts w:hint="default" w:ascii="Times New Roman" w:hAnsi="Times New Roman" w:cs="Times New Roman"/>
                <w:sz w:val="21"/>
                <w:szCs w:val="21"/>
              </w:rPr>
            </w:pPr>
          </w:p>
        </w:tc>
        <w:tc>
          <w:tcPr>
            <w:tcW w:w="1240" w:type="pct"/>
            <w:vMerge w:val="continue"/>
            <w:tcBorders>
              <w:top w:val="nil"/>
            </w:tcBorders>
            <w:vAlign w:val="center"/>
          </w:tcPr>
          <w:p>
            <w:pPr>
              <w:bidi w:val="0"/>
              <w:jc w:val="center"/>
              <w:rPr>
                <w:rFonts w:hint="default" w:ascii="Times New Roman" w:hAnsi="Times New Roman" w:cs="Times New Roman"/>
                <w:sz w:val="21"/>
                <w:szCs w:val="21"/>
              </w:rPr>
            </w:pPr>
          </w:p>
        </w:tc>
        <w:tc>
          <w:tcPr>
            <w:tcW w:w="1069" w:type="pct"/>
            <w:vMerge w:val="continue"/>
            <w:tcBorders>
              <w:top w:val="nil"/>
            </w:tcBorders>
            <w:vAlign w:val="center"/>
          </w:tcPr>
          <w:p>
            <w:pPr>
              <w:bidi w:val="0"/>
              <w:jc w:val="center"/>
              <w:rPr>
                <w:rFonts w:hint="default" w:ascii="Times New Roman" w:hAnsi="Times New Roman" w:cs="Times New Roman"/>
                <w:sz w:val="21"/>
                <w:szCs w:val="21"/>
              </w:rPr>
            </w:pPr>
          </w:p>
        </w:tc>
        <w:tc>
          <w:tcPr>
            <w:tcW w:w="497" w:type="pct"/>
            <w:vMerge w:val="continue"/>
            <w:tcBorders>
              <w:top w:val="nil"/>
            </w:tcBorders>
            <w:vAlign w:val="center"/>
          </w:tcPr>
          <w:p>
            <w:pPr>
              <w:bidi w:val="0"/>
              <w:jc w:val="center"/>
              <w:rPr>
                <w:rFonts w:hint="default" w:ascii="Times New Roman" w:hAnsi="Times New Roman" w:cs="Times New Roman"/>
                <w:sz w:val="21"/>
                <w:szCs w:val="21"/>
              </w:rPr>
            </w:pPr>
          </w:p>
        </w:tc>
        <w:tc>
          <w:tcPr>
            <w:tcW w:w="483" w:type="pct"/>
            <w:vMerge w:val="continue"/>
            <w:tcBorders>
              <w:top w:val="nil"/>
            </w:tcBorders>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4" w:hRule="atLeast"/>
        </w:trPr>
        <w:tc>
          <w:tcPr>
            <w:tcW w:w="349"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3.1.1</w:t>
            </w:r>
          </w:p>
        </w:tc>
        <w:tc>
          <w:tcPr>
            <w:tcW w:w="421"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3.1.1</w:t>
            </w:r>
          </w:p>
        </w:tc>
        <w:tc>
          <w:tcPr>
            <w:tcW w:w="938"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（1）场地避开滑坡、泥石流等地质危险地段，易发生洪涝地区有可靠的防洪涝基础设施：（□是 □否）；</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（2）场地无危险化学品、易燃易爆危险源的威胁、电磁辐射、含氡土壤的危害：（□是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1、总平面设计说明；</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2、总平面图；</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3、环评报告书（表）/地勘报告；</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4、土壤氡浓度专项检测报告；</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5、地质灾害危险性评估报告；</w:t>
            </w:r>
          </w:p>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6、污染源相关检测报告或论证报告。</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3.1.2</w:t>
            </w:r>
          </w:p>
        </w:tc>
        <w:tc>
          <w:tcPr>
            <w:tcW w:w="421" w:type="pct"/>
            <w:vAlign w:val="center"/>
          </w:tcPr>
          <w:p>
            <w:pPr>
              <w:bidi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3.1.2</w:t>
            </w:r>
          </w:p>
        </w:tc>
        <w:tc>
          <w:tcPr>
            <w:tcW w:w="938" w:type="pct"/>
            <w:gridSpan w:val="2"/>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场地内无有排放超标的污染源：（□是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1、环评报告书（表）；</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3.1.3</w:t>
            </w:r>
          </w:p>
        </w:tc>
        <w:tc>
          <w:tcPr>
            <w:tcW w:w="421" w:type="pct"/>
            <w:vAlign w:val="center"/>
          </w:tcPr>
          <w:p>
            <w:pPr>
              <w:bidi w:val="0"/>
              <w:jc w:val="center"/>
              <w:rPr>
                <w:rFonts w:hint="default" w:ascii="Times New Roman" w:hAnsi="Times New Roman" w:cs="Times New Roman"/>
                <w:sz w:val="21"/>
                <w:szCs w:val="21"/>
                <w:lang w:val="zh-CN" w:eastAsia="zh-CN"/>
              </w:rPr>
            </w:pPr>
            <w:r>
              <w:rPr>
                <w:rFonts w:hint="eastAsia" w:ascii="Times New Roman" w:hAnsi="Times New Roman" w:cs="Times New Roman"/>
                <w:sz w:val="21"/>
                <w:szCs w:val="21"/>
                <w:lang w:eastAsia="zh-CN"/>
              </w:rPr>
              <w:t>——</w:t>
            </w:r>
          </w:p>
        </w:tc>
        <w:tc>
          <w:tcPr>
            <w:tcW w:w="938" w:type="pct"/>
            <w:gridSpan w:val="2"/>
            <w:vAlign w:val="center"/>
          </w:tcPr>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建筑规划布局满足日照标准达到 100%，且不降低周边建筑的日照标准：（□是 □否）。</w:t>
            </w:r>
          </w:p>
        </w:tc>
        <w:tc>
          <w:tcPr>
            <w:tcW w:w="1240" w:type="pct"/>
            <w:vAlign w:val="center"/>
          </w:tcPr>
          <w:p>
            <w:pPr>
              <w:pStyle w:val="4"/>
              <w:jc w:val="center"/>
              <w:rPr>
                <w:rFonts w:hint="default" w:ascii="Times New Roman" w:hAnsi="宋体" w:eastAsia="宋体" w:cs="宋体"/>
                <w:kern w:val="2"/>
                <w:sz w:val="20"/>
                <w:szCs w:val="24"/>
                <w:lang w:val="zh-CN" w:eastAsia="zh-CN" w:bidi="zh-CN"/>
              </w:rPr>
            </w:pPr>
          </w:p>
        </w:tc>
        <w:tc>
          <w:tcPr>
            <w:tcW w:w="1069" w:type="pct"/>
            <w:vAlign w:val="center"/>
          </w:tcPr>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1、日照模拟分析报告；</w:t>
            </w:r>
          </w:p>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2、规划阶段批复；</w:t>
            </w:r>
          </w:p>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3、总平面图。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3.1.4</w:t>
            </w:r>
          </w:p>
        </w:tc>
        <w:tc>
          <w:tcPr>
            <w:tcW w:w="421" w:type="pct"/>
            <w:vAlign w:val="center"/>
          </w:tcPr>
          <w:p>
            <w:pPr>
              <w:bidi w:val="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场地内环境噪声符合现行国家标准《声环境质量标 准》GB3096的有关规定：（□是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1、环评报告书（表）；</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2、环境噪声模拟分析报告；</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3、总平面及设计说明。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3.1.5</w:t>
            </w:r>
          </w:p>
        </w:tc>
        <w:tc>
          <w:tcPr>
            <w:tcW w:w="421" w:type="pct"/>
            <w:vAlign w:val="center"/>
          </w:tcPr>
          <w:p>
            <w:pPr>
              <w:bidi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eastAsia="zh-CN"/>
              </w:rPr>
              <w:t>——</w:t>
            </w:r>
          </w:p>
        </w:tc>
        <w:tc>
          <w:tcPr>
            <w:tcW w:w="93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室外热环境满足国家现行有关标准的要求：（□是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1、总平面设计说明；</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3.1.6</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3.1.6</w:t>
            </w:r>
          </w:p>
        </w:tc>
        <w:tc>
          <w:tcPr>
            <w:tcW w:w="93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建筑、室外场地、公共绿地、城市道路相互之间设置连贯的无障碍步行系统：（□是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1、总平面设计说明；2、总平面图；</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3、竖向布置图。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3.1.7</w:t>
            </w:r>
          </w:p>
        </w:tc>
        <w:tc>
          <w:tcPr>
            <w:tcW w:w="421" w:type="pct"/>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w:t>
            </w:r>
          </w:p>
        </w:tc>
        <w:tc>
          <w:tcPr>
            <w:tcW w:w="938"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场地人行出入口 500m内设有公共交通站点或配备联系公共交通站点的专用接驳车：（□是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ind w:lef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1、总平面设计说明；</w:t>
            </w:r>
          </w:p>
          <w:p>
            <w:pPr>
              <w:numPr>
                <w:ilvl w:val="0"/>
                <w:numId w:val="0"/>
              </w:numPr>
              <w:bidi w:val="0"/>
              <w:ind w:lef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2、区域位置图；</w:t>
            </w:r>
          </w:p>
          <w:p>
            <w:pPr>
              <w:numPr>
                <w:ilvl w:val="0"/>
                <w:numId w:val="0"/>
              </w:numPr>
              <w:bidi w:val="0"/>
              <w:ind w:lef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3、总平面图。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3.1.8</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3.1.8</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（1）停车场所具有电动汽车充电设施或具备充电设施的安装条件：（□是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（2）合理设置电动汽车和无障碍汽车停车位：（□是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3、建筑平面图。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3.1.9</w:t>
            </w:r>
          </w:p>
        </w:tc>
        <w:tc>
          <w:tcPr>
            <w:tcW w:w="421" w:type="pct"/>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自行车停车场所位置合理、方便出入：（□是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3、建筑平面图。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3.1.10</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3.1.10</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（1）配建的绿地符合所在地城乡规划的规定：（□是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（2）种植适应当地气候和生态环境条件，且无毒害、易维护，体现地方特色的乡土植物，其占场地全部植物种类的比例不小于70%：（□是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（3）合理选择绿化方式，采用乔木、灌木、草等复层绿化方式，种植区域覆土深度不小于1.2m，排水能力满足植物生长需求：（□是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1、总平面图；竖向布置设计说明。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3.1.11</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（1）场地的竖向设计有利于雨水的收集与排放，能有效组织雨水的下渗、滞蓄或再利用：（□是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（2）项目场地是否大于10hm 2：（□是 □否）；若大于，进行雨水控制利用专项设计：（□是□否）；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（3）项目绿地率是否≥ 20%：（□是 □否）；项目要求下凹式绿地、雨水花园等有调蓄雨水功能的绿地或水体的面积之和占绿地面积的比例不小于30%：（□是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1、总平面设计说</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3.1.12</w:t>
            </w:r>
          </w:p>
        </w:tc>
        <w:tc>
          <w:tcPr>
            <w:tcW w:w="421" w:type="pct"/>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生活垃圾分类收集，垃圾容器和收集点的设置合理并与周围景观协调：（□是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1"/>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总平面图；</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走廊、疏散通道等通行空间满足紧急疏散、应急救护等要求，且保持畅通：（□是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1、建筑设计说明（消防设计说明）；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2、建筑平面图。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3.2.2</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3.2.2</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建筑造型要素简约，无大量装饰性构件：（□是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纯装饰性构件造价占建筑总造价的比例不大1%</w:t>
            </w:r>
            <w:r>
              <w:rPr>
                <w:rFonts w:hint="eastAsia" w:ascii="Times New Roman" w:hAnsi="Times New Roman" w:cs="Times New Roman"/>
                <w:lang w:val="en-US" w:eastAsia="zh-CN"/>
              </w:rPr>
              <w:t>：</w:t>
            </w:r>
            <w:r>
              <w:rPr>
                <w:rFonts w:hint="default" w:ascii="Times New Roman" w:hAnsi="Times New Roman" w:cs="Times New Roman"/>
                <w:lang w:val="en-US" w:eastAsia="zh-CN"/>
              </w:rPr>
              <w:t>（□是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2"/>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建筑效果图；</w:t>
            </w:r>
          </w:p>
          <w:p>
            <w:pPr>
              <w:numPr>
                <w:ilvl w:val="0"/>
                <w:numId w:val="2"/>
              </w:numPr>
              <w:bidi w:val="0"/>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建筑设计说明；3、装饰性构件功能说明书。</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3.2.3</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（1）建筑结构满足承载力和建筑使用功能要求：（□是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（2）建筑外墙、</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屋面、门窗、幕墙及外保温等围护结构满足安全、耐久和防护的要求：（□是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3.2.4</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（1）外遮阳、太</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阳能设施、空调室外机位、外墙花池、外墙垂直绿化等外部设施与建筑主体结构统一设计、施工：（□是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（2）具备安装、检修与维护条件：（□是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2、建筑设计图。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3.2.5</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建筑内部的非结构构件、设备及附属设施等连接牢固并能适应主体结构变形：（□是 □</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2、建筑设计图。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3.2.6</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建筑外门窗安装牢固，其抗风压性能和水密性能符合国家现行有关标准的规定：（□是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3.2.7</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（1）卫生间、浴</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室的地面设置防水层：（□是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（2）墙面、顶棚</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设置防潮层：（□是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2、建筑设计图。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3.2.8</w:t>
            </w:r>
          </w:p>
        </w:tc>
        <w:tc>
          <w:tcPr>
            <w:tcW w:w="421" w:type="pct"/>
            <w:vAlign w:val="center"/>
          </w:tcPr>
          <w:p>
            <w:pPr>
              <w:bidi w:val="0"/>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（1）室内装饰装修材料中有害物质含量符合现行国家标准《室内装饰装修材料》GB</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1858</w:t>
            </w:r>
            <w:r>
              <w:rPr>
                <w:rFonts w:hint="eastAsia" w:ascii="Times New Roman" w:hAnsi="Times New Roman" w:cs="Times New Roman"/>
                <w:lang w:val="en-US" w:eastAsia="zh-CN"/>
              </w:rPr>
              <w:t>0</w:t>
            </w:r>
            <w:r>
              <w:rPr>
                <w:rFonts w:hint="default" w:ascii="Times New Roman" w:hAnsi="Times New Roman" w:cs="Times New Roman"/>
                <w:lang w:val="en-US" w:eastAsia="zh-CN"/>
              </w:rPr>
              <w:t>～GB18587、GB24410的要求：（□是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（2）无机非金属类建筑材料放射性核素限量符合现行国家标准《建筑材料放射性核素限量》GB 6566</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的要求：（□是□否）。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2、装修材料表。</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eastAsia" w:ascii="Times New Roman" w:hAnsi="Times New Roman" w:cs="Times New Roman" w:eastAsiaTheme="minorEastAsia"/>
                <w:kern w:val="2"/>
                <w:sz w:val="21"/>
                <w:szCs w:val="21"/>
                <w:lang w:val="zh-CN" w:eastAsia="zh-CN" w:bidi="ar-SA"/>
              </w:rPr>
            </w:pPr>
            <w:r>
              <w:rPr>
                <w:rFonts w:hint="eastAsia" w:ascii="Times New Roman" w:hAnsi="Times New Roman"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3.2.9</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3.2.9</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（1）室内空气中的氨、甲醛、苯、总挥发性有机物、氡等污染物浓度符合现行国家标准《室内空气质量标准》GB/T 18883的有关规定：（□是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（2）建筑室内和建筑主出入口应禁止吸烟：（□是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2、装修材料表。</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3.2.10</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3.2.10</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（1）采取措施避免厨房、餐厅、打印复印室、卫生间、地下车库等区域的空气和污染物串通到其他空间：（□是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（2）防止厨房、卫生间的排气倒灌：（□是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建筑设计图。</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3.2.11</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3.2.11</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（1）室内噪声级符合现行国家标准《民用建筑隔声设计规范》</w:t>
            </w:r>
            <w:bookmarkStart w:id="0" w:name="_GoBack"/>
            <w:bookmarkEnd w:id="0"/>
            <w:r>
              <w:rPr>
                <w:rFonts w:hint="default" w:ascii="Times New Roman" w:hAnsi="Times New Roman" w:cs="Times New Roman"/>
                <w:lang w:val="en-US" w:eastAsia="zh-CN"/>
              </w:rPr>
              <w:t>GB50118中的低限要求：（□是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（2）外墙、隔墙、楼板和门窗的隔声性能应满足现行国家标准《民用建筑隔声设计规范》GB 50118中的低限要求：（□是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3、建筑平面图；</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4、室内噪声分析报告；</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5、围护结构隔声计算或者分析报告。</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3.2.12</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3.2.12</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（1）在室内设计温度、湿度条件下，建筑非透光围护结构内表面不结露：（□是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（2）供暖建筑的屋面、外墙内部不产生冷凝：（□是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（3）屋顶和外墙隔热性能满足现行国家标准《民用建筑热工设计规范》GB 50176、《湖</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南省居住建筑节能设计标准》DBJ 43/001：（□是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3.2.13</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3.2.13</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结合场地自然条件和建筑功能需求，对建筑的体形、平面布局、朝向、围护结构热工性能、窗墙比等进行优化设计，且符合国家和湖南省现行有关节能设计的要求：（□是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2、总平面图标明。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3.2.14</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3.2.14</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禁止采用国家和地方禁止和限制使用的建筑材料及制品：（□是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2、建筑设计文件。</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9"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3.2.15</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3.2.15</w:t>
            </w:r>
          </w:p>
        </w:tc>
        <w:tc>
          <w:tcPr>
            <w:tcW w:w="938" w:type="pct"/>
            <w:gridSpan w:val="2"/>
            <w:vAlign w:val="center"/>
          </w:tcPr>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（1）500km以内生产的建筑材料重量占建筑材料总重量的比例大于60%：（□是 □否）；</w:t>
            </w:r>
          </w:p>
          <w:p>
            <w:pPr>
              <w:numPr>
                <w:ilvl w:val="0"/>
                <w:numId w:val="0"/>
              </w:num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（2）现浇混凝土100%采用预拌混凝土，建筑砂浆100%采用预拌砂浆：（是 □否）。</w:t>
            </w:r>
          </w:p>
        </w:tc>
        <w:tc>
          <w:tcPr>
            <w:tcW w:w="1240" w:type="pct"/>
            <w:vAlign w:val="center"/>
          </w:tcPr>
          <w:p>
            <w:pPr>
              <w:bidi w:val="0"/>
              <w:jc w:val="center"/>
              <w:rPr>
                <w:rFonts w:hint="default" w:ascii="Times New Roman" w:hAnsi="Times New Roman" w:cs="Times New Roman"/>
                <w:sz w:val="21"/>
                <w:szCs w:val="21"/>
              </w:rPr>
            </w:pPr>
          </w:p>
        </w:tc>
        <w:tc>
          <w:tcPr>
            <w:tcW w:w="1069" w:type="pct"/>
            <w:vAlign w:val="center"/>
          </w:tcPr>
          <w:p>
            <w:pPr>
              <w:numPr>
                <w:ilvl w:val="0"/>
                <w:numId w:val="3"/>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建筑设计说明；</w:t>
            </w:r>
          </w:p>
          <w:p>
            <w:pPr>
              <w:numPr>
                <w:ilvl w:val="0"/>
                <w:numId w:val="0"/>
              </w:num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2、项目所在地无预拌混凝土或砂浆采购来源者的相关说明。</w:t>
            </w:r>
          </w:p>
        </w:tc>
        <w:tc>
          <w:tcPr>
            <w:tcW w:w="497"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48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70" w:type="pct"/>
            <w:gridSpan w:val="2"/>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自评意见</w:t>
            </w:r>
          </w:p>
        </w:tc>
        <w:tc>
          <w:tcPr>
            <w:tcW w:w="4229" w:type="pct"/>
            <w:gridSpan w:val="6"/>
            <w:vAlign w:val="center"/>
          </w:tcPr>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专业负责人签名：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70" w:type="pct"/>
            <w:gridSpan w:val="2"/>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建筑专业审查意见</w:t>
            </w:r>
          </w:p>
        </w:tc>
        <w:tc>
          <w:tcPr>
            <w:tcW w:w="4229" w:type="pct"/>
            <w:gridSpan w:val="6"/>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1、本表适用于湖南省新建公共建筑的初步设计（建筑专业）审查管理；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3、表中“设计要点”指《湖南省绿色建筑工程设计要点》（公共建筑），“审查要点”指《湖南省绿色建筑工程技术审查要点》（公共建筑）；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4、设计单位在申报时应提交相关设计文件、及满足相关条文要求的证明材料等。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A7C5F"/>
    <w:multiLevelType w:val="singleLevel"/>
    <w:tmpl w:val="AA8A7C5F"/>
    <w:lvl w:ilvl="0" w:tentative="0">
      <w:start w:val="1"/>
      <w:numFmt w:val="decimal"/>
      <w:suff w:val="nothing"/>
      <w:lvlText w:val="%1、"/>
      <w:lvlJc w:val="left"/>
    </w:lvl>
  </w:abstractNum>
  <w:abstractNum w:abstractNumId="1">
    <w:nsid w:val="B89FE6B8"/>
    <w:multiLevelType w:val="singleLevel"/>
    <w:tmpl w:val="B89FE6B8"/>
    <w:lvl w:ilvl="0" w:tentative="0">
      <w:start w:val="1"/>
      <w:numFmt w:val="decimal"/>
      <w:suff w:val="nothing"/>
      <w:lvlText w:val="%1、"/>
      <w:lvlJc w:val="left"/>
    </w:lvl>
  </w:abstractNum>
  <w:abstractNum w:abstractNumId="2">
    <w:nsid w:val="EB36AE58"/>
    <w:multiLevelType w:val="singleLevel"/>
    <w:tmpl w:val="EB36AE5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1D12756D"/>
    <w:rsid w:val="18D21A4C"/>
    <w:rsid w:val="1D12756D"/>
    <w:rsid w:val="222E2CA1"/>
    <w:rsid w:val="232E2F9A"/>
    <w:rsid w:val="38030073"/>
    <w:rsid w:val="42AC00A0"/>
    <w:rsid w:val="4BD54456"/>
    <w:rsid w:val="5CB9505D"/>
    <w:rsid w:val="711100F6"/>
    <w:rsid w:val="7C31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2993</Words>
  <Characters>3256</Characters>
  <Lines>0</Lines>
  <Paragraphs>0</Paragraphs>
  <TotalTime>4</TotalTime>
  <ScaleCrop>false</ScaleCrop>
  <LinksUpToDate>false</LinksUpToDate>
  <CharactersWithSpaces>3321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2022-06-08T09:11:00Z</dcterms:created>
  <dc:creator>孟子曰</dc:creator>
  <cp:lastModifiedBy>孟子曰</cp:lastModifiedBy>
  <dcterms:modified xsi:type="dcterms:W3CDTF">2023-10-18T01:28:02Z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E0638791AFF04C1CAF95251F2051706E</vt:lpwstr>
  </property>
</Properties>
</file>