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湖南省绿色建筑工程初步设计审查表（公共建筑）-景观专业</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填表日期：  年  月  日</w:t>
      </w:r>
    </w:p>
    <w:tbl>
      <w:tblPr>
        <w:tblStyle w:val="2"/>
        <w:tblW w:w="556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3"/>
        <w:gridCol w:w="769"/>
        <w:gridCol w:w="496"/>
        <w:gridCol w:w="1184"/>
        <w:gridCol w:w="2303"/>
        <w:gridCol w:w="1944"/>
        <w:gridCol w:w="914"/>
        <w:gridCol w:w="1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000"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项目名称</w:t>
            </w:r>
          </w:p>
        </w:tc>
        <w:tc>
          <w:tcPr>
            <w:tcW w:w="3999" w:type="pct"/>
            <w:gridSpan w:val="5"/>
            <w:vAlign w:val="center"/>
          </w:tcPr>
          <w:p>
            <w:pPr>
              <w:bidi w:val="0"/>
              <w:jc w:val="lef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000"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净用地面积（㎡）</w:t>
            </w:r>
          </w:p>
        </w:tc>
        <w:tc>
          <w:tcPr>
            <w:tcW w:w="1885" w:type="pct"/>
            <w:gridSpan w:val="2"/>
            <w:vAlign w:val="center"/>
          </w:tcPr>
          <w:p>
            <w:pPr>
              <w:bidi w:val="0"/>
              <w:jc w:val="center"/>
              <w:rPr>
                <w:rFonts w:hint="default" w:ascii="Times New Roman" w:hAnsi="Times New Roman" w:cs="Times New Roman"/>
                <w:sz w:val="21"/>
                <w:szCs w:val="21"/>
              </w:rPr>
            </w:pPr>
          </w:p>
        </w:tc>
        <w:tc>
          <w:tcPr>
            <w:tcW w:w="1051"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总建筑面积（㎡）</w:t>
            </w:r>
          </w:p>
        </w:tc>
        <w:tc>
          <w:tcPr>
            <w:tcW w:w="1062"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00"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建设单位</w:t>
            </w:r>
          </w:p>
        </w:tc>
        <w:tc>
          <w:tcPr>
            <w:tcW w:w="1885" w:type="pct"/>
            <w:gridSpan w:val="2"/>
            <w:vAlign w:val="center"/>
          </w:tcPr>
          <w:p>
            <w:pPr>
              <w:bidi w:val="0"/>
              <w:jc w:val="center"/>
              <w:rPr>
                <w:rFonts w:hint="default" w:ascii="Times New Roman" w:hAnsi="Times New Roman" w:cs="Times New Roman"/>
                <w:sz w:val="21"/>
                <w:szCs w:val="21"/>
              </w:rPr>
            </w:pPr>
          </w:p>
        </w:tc>
        <w:tc>
          <w:tcPr>
            <w:tcW w:w="1051"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设计单位</w:t>
            </w:r>
          </w:p>
        </w:tc>
        <w:tc>
          <w:tcPr>
            <w:tcW w:w="1062"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000"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建设单位联系人</w:t>
            </w:r>
          </w:p>
        </w:tc>
        <w:tc>
          <w:tcPr>
            <w:tcW w:w="1885" w:type="pct"/>
            <w:gridSpan w:val="2"/>
            <w:vAlign w:val="center"/>
          </w:tcPr>
          <w:p>
            <w:pPr>
              <w:bidi w:val="0"/>
              <w:jc w:val="center"/>
              <w:rPr>
                <w:rFonts w:hint="default" w:ascii="Times New Roman" w:hAnsi="Times New Roman" w:cs="Times New Roman"/>
                <w:sz w:val="21"/>
                <w:szCs w:val="21"/>
              </w:rPr>
            </w:pPr>
          </w:p>
        </w:tc>
        <w:tc>
          <w:tcPr>
            <w:tcW w:w="1051"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设计单位联系人</w:t>
            </w:r>
          </w:p>
        </w:tc>
        <w:tc>
          <w:tcPr>
            <w:tcW w:w="1062"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00"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1885" w:type="pct"/>
            <w:gridSpan w:val="2"/>
            <w:vAlign w:val="center"/>
          </w:tcPr>
          <w:p>
            <w:pPr>
              <w:bidi w:val="0"/>
              <w:jc w:val="center"/>
              <w:rPr>
                <w:rFonts w:hint="default" w:ascii="Times New Roman" w:hAnsi="Times New Roman" w:cs="Times New Roman"/>
                <w:sz w:val="21"/>
                <w:szCs w:val="21"/>
              </w:rPr>
            </w:pPr>
          </w:p>
        </w:tc>
        <w:tc>
          <w:tcPr>
            <w:tcW w:w="1051"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1062"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00"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邮箱</w:t>
            </w:r>
          </w:p>
        </w:tc>
        <w:tc>
          <w:tcPr>
            <w:tcW w:w="1885" w:type="pct"/>
            <w:gridSpan w:val="2"/>
            <w:vAlign w:val="center"/>
          </w:tcPr>
          <w:p>
            <w:pPr>
              <w:bidi w:val="0"/>
              <w:jc w:val="center"/>
              <w:rPr>
                <w:rFonts w:hint="default" w:ascii="Times New Roman" w:hAnsi="Times New Roman" w:cs="Times New Roman"/>
                <w:sz w:val="21"/>
                <w:szCs w:val="21"/>
              </w:rPr>
            </w:pPr>
          </w:p>
        </w:tc>
        <w:tc>
          <w:tcPr>
            <w:tcW w:w="1051"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邮箱</w:t>
            </w:r>
          </w:p>
        </w:tc>
        <w:tc>
          <w:tcPr>
            <w:tcW w:w="1062"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32" w:type="pct"/>
            <w:gridSpan w:val="2"/>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条款编号</w:t>
            </w:r>
          </w:p>
        </w:tc>
        <w:tc>
          <w:tcPr>
            <w:tcW w:w="908" w:type="pct"/>
            <w:gridSpan w:val="2"/>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项目实际情况</w:t>
            </w:r>
          </w:p>
        </w:tc>
        <w:tc>
          <w:tcPr>
            <w:tcW w:w="1244"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设计具体做法说明</w:t>
            </w:r>
          </w:p>
        </w:tc>
        <w:tc>
          <w:tcPr>
            <w:tcW w:w="1051"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证明材料</w:t>
            </w:r>
          </w:p>
        </w:tc>
        <w:tc>
          <w:tcPr>
            <w:tcW w:w="494"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自查意见</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（是否达标）</w:t>
            </w:r>
          </w:p>
        </w:tc>
        <w:tc>
          <w:tcPr>
            <w:tcW w:w="567"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审查意见（是否 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1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设计要点</w:t>
            </w:r>
          </w:p>
        </w:tc>
        <w:tc>
          <w:tcPr>
            <w:tcW w:w="41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审查要点</w:t>
            </w:r>
          </w:p>
        </w:tc>
        <w:tc>
          <w:tcPr>
            <w:tcW w:w="908" w:type="pct"/>
            <w:gridSpan w:val="2"/>
            <w:vMerge w:val="continue"/>
            <w:tcBorders>
              <w:top w:val="nil"/>
            </w:tcBorders>
            <w:vAlign w:val="center"/>
          </w:tcPr>
          <w:p>
            <w:pPr>
              <w:bidi w:val="0"/>
              <w:jc w:val="center"/>
              <w:rPr>
                <w:rFonts w:hint="default" w:ascii="Times New Roman" w:hAnsi="Times New Roman" w:cs="Times New Roman"/>
                <w:sz w:val="21"/>
                <w:szCs w:val="21"/>
              </w:rPr>
            </w:pPr>
          </w:p>
        </w:tc>
        <w:tc>
          <w:tcPr>
            <w:tcW w:w="1244" w:type="pct"/>
            <w:vMerge w:val="continue"/>
            <w:tcBorders>
              <w:top w:val="nil"/>
            </w:tcBorders>
            <w:vAlign w:val="center"/>
          </w:tcPr>
          <w:p>
            <w:pPr>
              <w:bidi w:val="0"/>
              <w:jc w:val="center"/>
              <w:rPr>
                <w:rFonts w:hint="default" w:ascii="Times New Roman" w:hAnsi="Times New Roman" w:cs="Times New Roman"/>
                <w:sz w:val="21"/>
                <w:szCs w:val="21"/>
              </w:rPr>
            </w:pPr>
          </w:p>
        </w:tc>
        <w:tc>
          <w:tcPr>
            <w:tcW w:w="1051" w:type="pct"/>
            <w:vMerge w:val="continue"/>
            <w:tcBorders>
              <w:top w:val="nil"/>
            </w:tcBorders>
            <w:vAlign w:val="center"/>
          </w:tcPr>
          <w:p>
            <w:pPr>
              <w:bidi w:val="0"/>
              <w:jc w:val="center"/>
              <w:rPr>
                <w:rFonts w:hint="default" w:ascii="Times New Roman" w:hAnsi="Times New Roman" w:cs="Times New Roman"/>
                <w:sz w:val="21"/>
                <w:szCs w:val="21"/>
              </w:rPr>
            </w:pPr>
          </w:p>
        </w:tc>
        <w:tc>
          <w:tcPr>
            <w:tcW w:w="494" w:type="pct"/>
            <w:vMerge w:val="continue"/>
            <w:tcBorders>
              <w:top w:val="nil"/>
            </w:tcBorders>
            <w:vAlign w:val="center"/>
          </w:tcPr>
          <w:p>
            <w:pPr>
              <w:bidi w:val="0"/>
              <w:jc w:val="center"/>
              <w:rPr>
                <w:rFonts w:hint="default" w:ascii="Times New Roman" w:hAnsi="Times New Roman" w:cs="Times New Roman"/>
                <w:sz w:val="21"/>
                <w:szCs w:val="21"/>
              </w:rPr>
            </w:pPr>
          </w:p>
        </w:tc>
        <w:tc>
          <w:tcPr>
            <w:tcW w:w="567" w:type="pct"/>
            <w:vMerge w:val="continue"/>
            <w:tcBorders>
              <w:top w:val="nil"/>
            </w:tcBorders>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316"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3.7.1</w:t>
            </w:r>
          </w:p>
        </w:tc>
        <w:tc>
          <w:tcPr>
            <w:tcW w:w="416"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w:t>
            </w:r>
          </w:p>
        </w:tc>
        <w:tc>
          <w:tcPr>
            <w:tcW w:w="908" w:type="pct"/>
            <w:gridSpan w:val="2"/>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室外热环境满足国家现行有关标准的要求：（□是 □否）。</w:t>
            </w:r>
          </w:p>
        </w:tc>
        <w:tc>
          <w:tcPr>
            <w:tcW w:w="1244" w:type="pct"/>
            <w:vAlign w:val="center"/>
          </w:tcPr>
          <w:p>
            <w:pPr>
              <w:bidi w:val="0"/>
              <w:jc w:val="center"/>
              <w:rPr>
                <w:rFonts w:hint="default" w:ascii="Times New Roman" w:hAnsi="Times New Roman" w:cs="Times New Roman"/>
                <w:sz w:val="21"/>
                <w:szCs w:val="21"/>
              </w:rPr>
            </w:pPr>
          </w:p>
        </w:tc>
        <w:tc>
          <w:tcPr>
            <w:tcW w:w="1051" w:type="pct"/>
            <w:vAlign w:val="center"/>
          </w:tcPr>
          <w:p>
            <w:pPr>
              <w:numPr>
                <w:ilvl w:val="0"/>
                <w:numId w:val="0"/>
              </w:numPr>
              <w:bidi w:val="0"/>
              <w:ind w:leftChars="0"/>
              <w:jc w:val="center"/>
              <w:rPr>
                <w:rFonts w:hint="default" w:ascii="Times New Roman" w:hAnsi="Times New Roman" w:cs="Times New Roman"/>
                <w:sz w:val="21"/>
                <w:szCs w:val="21"/>
              </w:rPr>
            </w:pPr>
            <w:r>
              <w:rPr>
                <w:rFonts w:hint="default" w:ascii="Times New Roman" w:hAnsi="Times New Roman" w:cs="Times New Roman"/>
                <w:sz w:val="21"/>
                <w:szCs w:val="21"/>
              </w:rPr>
              <w:t>1、景观设计说明；</w:t>
            </w:r>
          </w:p>
          <w:p>
            <w:pPr>
              <w:numPr>
                <w:ilvl w:val="0"/>
                <w:numId w:val="0"/>
              </w:numPr>
              <w:bidi w:val="0"/>
              <w:ind w:leftChars="0"/>
              <w:jc w:val="center"/>
              <w:rPr>
                <w:rFonts w:hint="default" w:ascii="Times New Roman" w:hAnsi="Times New Roman" w:cs="Times New Roman"/>
                <w:sz w:val="21"/>
                <w:szCs w:val="21"/>
              </w:rPr>
            </w:pPr>
            <w:r>
              <w:rPr>
                <w:rFonts w:hint="default" w:ascii="Times New Roman" w:hAnsi="Times New Roman" w:cs="Times New Roman"/>
                <w:sz w:val="21"/>
                <w:szCs w:val="21"/>
              </w:rPr>
              <w:t>2、景观总平面图。</w:t>
            </w:r>
          </w:p>
        </w:tc>
        <w:tc>
          <w:tcPr>
            <w:tcW w:w="494"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567" w:type="pct"/>
            <w:vAlign w:val="center"/>
          </w:tcPr>
          <w:p>
            <w:pPr>
              <w:bidi w:val="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16"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3.7.2</w:t>
            </w:r>
          </w:p>
        </w:tc>
        <w:tc>
          <w:tcPr>
            <w:tcW w:w="416"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3.7.2</w:t>
            </w:r>
          </w:p>
        </w:tc>
        <w:tc>
          <w:tcPr>
            <w:tcW w:w="908" w:type="pct"/>
            <w:gridSpan w:val="2"/>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建筑、室外场地、公共绿地、城市道路相互之间设置连贯的无障碍步行系统：（□是 □否）。</w:t>
            </w:r>
          </w:p>
        </w:tc>
        <w:tc>
          <w:tcPr>
            <w:tcW w:w="1244" w:type="pct"/>
            <w:vAlign w:val="center"/>
          </w:tcPr>
          <w:p>
            <w:pPr>
              <w:bidi w:val="0"/>
              <w:jc w:val="center"/>
              <w:rPr>
                <w:rFonts w:hint="default" w:ascii="Times New Roman" w:hAnsi="Times New Roman" w:cs="Times New Roman"/>
                <w:sz w:val="21"/>
                <w:szCs w:val="21"/>
              </w:rPr>
            </w:pPr>
          </w:p>
        </w:tc>
        <w:tc>
          <w:tcPr>
            <w:tcW w:w="1051" w:type="pct"/>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1、景观设计说明；</w:t>
            </w:r>
          </w:p>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2、景观总平面图。</w:t>
            </w:r>
          </w:p>
        </w:tc>
        <w:tc>
          <w:tcPr>
            <w:tcW w:w="494"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□否</w:t>
            </w:r>
          </w:p>
        </w:tc>
        <w:tc>
          <w:tcPr>
            <w:tcW w:w="56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16"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3.7.3</w:t>
            </w:r>
          </w:p>
        </w:tc>
        <w:tc>
          <w:tcPr>
            <w:tcW w:w="416"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3.7.3</w:t>
            </w:r>
          </w:p>
        </w:tc>
        <w:tc>
          <w:tcPr>
            <w:tcW w:w="908" w:type="pct"/>
            <w:gridSpan w:val="2"/>
            <w:vAlign w:val="center"/>
          </w:tcPr>
          <w:p>
            <w:pPr>
              <w:bidi w:val="0"/>
              <w:jc w:val="center"/>
              <w:rPr>
                <w:rFonts w:hint="default" w:ascii="Times New Roman" w:hAnsi="Times New Roman" w:cs="Times New Roman"/>
                <w:lang w:val="zh-CN" w:eastAsia="zh-CN"/>
              </w:rPr>
            </w:pPr>
            <w:r>
              <w:rPr>
                <w:rFonts w:hint="default" w:ascii="Times New Roman" w:hAnsi="Times New Roman" w:cs="Times New Roman"/>
                <w:lang w:val="zh-CN" w:eastAsia="zh-CN"/>
              </w:rPr>
              <w:t>（1）停车场所具有电动汽车充电设施或具备充电设施的安装条件：（□是 □否）；</w:t>
            </w:r>
          </w:p>
          <w:p>
            <w:pPr>
              <w:bidi w:val="0"/>
              <w:jc w:val="center"/>
              <w:rPr>
                <w:rFonts w:hint="default" w:ascii="Times New Roman" w:hAnsi="Times New Roman" w:cs="Times New Roman"/>
                <w:lang w:val="zh-CN" w:eastAsia="zh-CN"/>
              </w:rPr>
            </w:pPr>
            <w:r>
              <w:rPr>
                <w:rFonts w:hint="default" w:ascii="Times New Roman" w:hAnsi="Times New Roman" w:cs="Times New Roman"/>
                <w:lang w:val="zh-CN" w:eastAsia="zh-CN"/>
              </w:rPr>
              <w:t>（2）合理设置电动汽车和无障碍汽车停车位：（□是 □否）。</w:t>
            </w:r>
          </w:p>
        </w:tc>
        <w:tc>
          <w:tcPr>
            <w:tcW w:w="1244" w:type="pct"/>
            <w:vAlign w:val="center"/>
          </w:tcPr>
          <w:p>
            <w:pPr>
              <w:pStyle w:val="4"/>
              <w:jc w:val="center"/>
              <w:rPr>
                <w:rFonts w:hint="default" w:ascii="Times New Roman" w:hAnsi="宋体" w:eastAsia="宋体" w:cs="宋体"/>
                <w:kern w:val="2"/>
                <w:sz w:val="20"/>
                <w:szCs w:val="24"/>
                <w:lang w:val="zh-CN" w:eastAsia="zh-CN" w:bidi="zh-CN"/>
              </w:rPr>
            </w:pPr>
          </w:p>
        </w:tc>
        <w:tc>
          <w:tcPr>
            <w:tcW w:w="1051" w:type="pct"/>
            <w:vAlign w:val="center"/>
          </w:tcPr>
          <w:p>
            <w:pPr>
              <w:bidi w:val="0"/>
              <w:jc w:val="center"/>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1、景观设计说明；</w:t>
            </w:r>
          </w:p>
          <w:p>
            <w:pPr>
              <w:bidi w:val="0"/>
              <w:jc w:val="center"/>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2、景观总平面图。</w:t>
            </w:r>
          </w:p>
        </w:tc>
        <w:tc>
          <w:tcPr>
            <w:tcW w:w="494"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6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16"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3.7.4</w:t>
            </w:r>
          </w:p>
        </w:tc>
        <w:tc>
          <w:tcPr>
            <w:tcW w:w="416"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w:t>
            </w:r>
          </w:p>
        </w:tc>
        <w:tc>
          <w:tcPr>
            <w:tcW w:w="908"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自行车停车场所位置合理、方便出入：（□是</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□否）。</w:t>
            </w:r>
          </w:p>
        </w:tc>
        <w:tc>
          <w:tcPr>
            <w:tcW w:w="1244" w:type="pct"/>
            <w:vAlign w:val="center"/>
          </w:tcPr>
          <w:p>
            <w:pPr>
              <w:bidi w:val="0"/>
              <w:jc w:val="center"/>
              <w:rPr>
                <w:rFonts w:hint="default" w:ascii="Times New Roman" w:hAnsi="Times New Roman" w:cs="Times New Roman"/>
                <w:sz w:val="21"/>
                <w:szCs w:val="21"/>
              </w:rPr>
            </w:pPr>
          </w:p>
        </w:tc>
        <w:tc>
          <w:tcPr>
            <w:tcW w:w="1051"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1、景观总平面图；</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2、景观设计详图。</w:t>
            </w:r>
          </w:p>
        </w:tc>
        <w:tc>
          <w:tcPr>
            <w:tcW w:w="494"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67" w:type="pct"/>
            <w:vAlign w:val="center"/>
          </w:tcPr>
          <w:p>
            <w:pPr>
              <w:bidi w:val="0"/>
              <w:jc w:val="center"/>
              <w:rPr>
                <w:rFonts w:hint="default" w:ascii="Times New Roman" w:hAnsi="Times New Roman" w:cs="Times New Roman" w:eastAsiaTheme="minorEastAsia"/>
                <w:kern w:val="2"/>
                <w:sz w:val="21"/>
                <w:szCs w:val="21"/>
                <w:lang w:val="zh-CN" w:eastAsia="zh-CN" w:bidi="ar-SA"/>
              </w:rPr>
            </w:pPr>
            <w:r>
              <w:rPr>
                <w:rFonts w:hint="eastAsia" w:ascii="Times New Roman" w:hAnsi="Times New Roman" w:cs="Times New Roman"/>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16"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3.7.5</w:t>
            </w:r>
          </w:p>
        </w:tc>
        <w:tc>
          <w:tcPr>
            <w:tcW w:w="416"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3.7.5</w:t>
            </w:r>
          </w:p>
        </w:tc>
        <w:tc>
          <w:tcPr>
            <w:tcW w:w="908"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（1）配建的绿地符合所在地城乡规划的规定：（□是 □否）；</w:t>
            </w:r>
          </w:p>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（2）种植适应当地气候和生态环境条件，且无毒害、易维护，体现地方特色的乡土植物，其占场地全部植物种类的比例不小于70%：（□是 □否）；</w:t>
            </w:r>
          </w:p>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（3）合理选择绿化方式，采用乔木、灌木、草等复层绿化方式，种植区域覆土深度不小于1.2m，排水能力满足植物生长需求：（□是 □否）。</w:t>
            </w:r>
          </w:p>
        </w:tc>
        <w:tc>
          <w:tcPr>
            <w:tcW w:w="1244" w:type="pct"/>
            <w:vAlign w:val="center"/>
          </w:tcPr>
          <w:p>
            <w:pPr>
              <w:bidi w:val="0"/>
              <w:jc w:val="center"/>
              <w:rPr>
                <w:rFonts w:hint="default" w:ascii="Times New Roman" w:hAnsi="Times New Roman" w:cs="Times New Roman"/>
                <w:sz w:val="21"/>
                <w:szCs w:val="21"/>
              </w:rPr>
            </w:pPr>
          </w:p>
        </w:tc>
        <w:tc>
          <w:tcPr>
            <w:tcW w:w="1051"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1、景观设计说明；</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2、种植平面图；</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3、给排水图。</w:t>
            </w:r>
          </w:p>
        </w:tc>
        <w:tc>
          <w:tcPr>
            <w:tcW w:w="494"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6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16" w:type="pct"/>
            <w:vAlign w:val="center"/>
          </w:tcPr>
          <w:p>
            <w:pPr>
              <w:bidi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3.7.6</w:t>
            </w:r>
          </w:p>
        </w:tc>
        <w:tc>
          <w:tcPr>
            <w:tcW w:w="416" w:type="pct"/>
            <w:vAlign w:val="center"/>
          </w:tcPr>
          <w:p>
            <w:pPr>
              <w:bidi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3.7.6</w:t>
            </w:r>
          </w:p>
        </w:tc>
        <w:tc>
          <w:tcPr>
            <w:tcW w:w="908"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（1）场地的竖向设计有利于雨水的收集与排放，能有效组织雨水的下渗、滞蓄或再利用：（□是 □否）；</w:t>
            </w:r>
          </w:p>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（2）项目场地是否大于10hm2：（□是 □否）；若大于，进行雨水控制利用专项设计：（□是</w:t>
            </w:r>
          </w:p>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□否）；</w:t>
            </w:r>
          </w:p>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（3）项目绿地率是否≥ 20%：（□是 □否）；项目要求下凹式绿地、雨水花园等有调蓄雨水功能的绿地或水体的面积之和占绿地面积的比例不小于30%：（□是</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□否）。</w:t>
            </w:r>
          </w:p>
        </w:tc>
        <w:tc>
          <w:tcPr>
            <w:tcW w:w="1244" w:type="pct"/>
            <w:vAlign w:val="center"/>
          </w:tcPr>
          <w:p>
            <w:pPr>
              <w:bidi w:val="0"/>
              <w:jc w:val="center"/>
              <w:rPr>
                <w:rFonts w:hint="default" w:ascii="Times New Roman" w:hAnsi="Times New Roman" w:cs="Times New Roman"/>
                <w:sz w:val="21"/>
                <w:szCs w:val="21"/>
              </w:rPr>
            </w:pPr>
          </w:p>
        </w:tc>
        <w:tc>
          <w:tcPr>
            <w:tcW w:w="1051"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1、景观总平面图；</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2、年径流总量控制率和设计控制雨量计算表格。</w:t>
            </w:r>
          </w:p>
        </w:tc>
        <w:tc>
          <w:tcPr>
            <w:tcW w:w="494"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6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316" w:type="pct"/>
            <w:vAlign w:val="center"/>
          </w:tcPr>
          <w:p>
            <w:pPr>
              <w:bidi w:val="0"/>
              <w:jc w:val="center"/>
              <w:rPr>
                <w:rFonts w:hint="default" w:ascii="Times New Roman" w:hAnsi="Times New Roman" w:cs="Times New Roman"/>
                <w:kern w:val="2"/>
                <w:sz w:val="21"/>
                <w:szCs w:val="21"/>
                <w:lang w:val="en-US" w:eastAsia="zh-CN" w:bidi="ar-SA"/>
              </w:rPr>
            </w:pPr>
            <w:bookmarkStart w:id="1" w:name="_GoBack" w:colFirst="4" w:colLast="4"/>
            <w:r>
              <w:rPr>
                <w:rFonts w:hint="eastAsia" w:ascii="Times New Roman" w:hAnsi="Times New Roman" w:cs="Times New Roman"/>
                <w:kern w:val="2"/>
                <w:sz w:val="21"/>
                <w:szCs w:val="21"/>
                <w:lang w:val="en-US" w:eastAsia="zh-CN" w:bidi="ar-SA"/>
              </w:rPr>
              <w:t>3.7.7</w:t>
            </w:r>
          </w:p>
        </w:tc>
        <w:tc>
          <w:tcPr>
            <w:tcW w:w="416" w:type="pct"/>
            <w:vAlign w:val="center"/>
          </w:tcPr>
          <w:p>
            <w:pPr>
              <w:bidi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w:t>
            </w:r>
          </w:p>
        </w:tc>
        <w:tc>
          <w:tcPr>
            <w:tcW w:w="908"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生活垃圾分类收集， 垃圾容器和收集点的设置合理并与周围景观协调：（□是 □否）。</w:t>
            </w:r>
          </w:p>
        </w:tc>
        <w:tc>
          <w:tcPr>
            <w:tcW w:w="1244" w:type="pct"/>
            <w:vAlign w:val="center"/>
          </w:tcPr>
          <w:p>
            <w:pPr>
              <w:bidi w:val="0"/>
              <w:jc w:val="center"/>
              <w:rPr>
                <w:rFonts w:hint="default" w:ascii="Times New Roman" w:hAnsi="Times New Roman" w:cs="Times New Roman"/>
                <w:sz w:val="21"/>
                <w:szCs w:val="21"/>
              </w:rPr>
            </w:pPr>
          </w:p>
        </w:tc>
        <w:tc>
          <w:tcPr>
            <w:tcW w:w="1051"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1、景观意向图；</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2、景观总平面图；</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3、景观设计详图。</w:t>
            </w:r>
          </w:p>
        </w:tc>
        <w:tc>
          <w:tcPr>
            <w:tcW w:w="494"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67" w:type="pct"/>
            <w:vAlign w:val="center"/>
          </w:tcPr>
          <w:p>
            <w:pPr>
              <w:bidi w:val="0"/>
              <w:jc w:val="center"/>
              <w:rPr>
                <w:rFonts w:hint="default" w:ascii="Times New Roman" w:hAnsi="Times New Roman" w:cs="Times New Roman" w:eastAsiaTheme="minorEastAsia"/>
                <w:kern w:val="2"/>
                <w:sz w:val="21"/>
                <w:szCs w:val="21"/>
                <w:lang w:val="zh-CN" w:eastAsia="zh-CN" w:bidi="ar-SA"/>
              </w:rPr>
            </w:pPr>
            <w:r>
              <w:rPr>
                <w:rFonts w:hint="eastAsia" w:ascii="Times New Roman" w:hAnsi="Times New Roman" w:cs="Times New Roman"/>
                <w:kern w:val="2"/>
                <w:sz w:val="21"/>
                <w:szCs w:val="21"/>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732" w:type="pct"/>
            <w:gridSpan w:val="2"/>
            <w:vAlign w:val="center"/>
          </w:tcPr>
          <w:p>
            <w:pPr>
              <w:bidi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自评意见</w:t>
            </w:r>
          </w:p>
        </w:tc>
        <w:tc>
          <w:tcPr>
            <w:tcW w:w="4267" w:type="pct"/>
            <w:gridSpan w:val="6"/>
            <w:vAlign w:val="center"/>
          </w:tcPr>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专业负责人签名：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年 月 日</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732" w:type="pct"/>
            <w:gridSpan w:val="2"/>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景观专业审查意见</w:t>
            </w:r>
          </w:p>
        </w:tc>
        <w:tc>
          <w:tcPr>
            <w:tcW w:w="4267" w:type="pct"/>
            <w:gridSpan w:val="6"/>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专家签名：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5000" w:type="pct"/>
            <w:gridSpan w:val="8"/>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备注：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1、本表适用于湖南省新建公共建筑的初步设计（</w:t>
            </w:r>
            <w:r>
              <w:rPr>
                <w:rFonts w:hint="eastAsia" w:ascii="Times New Roman" w:hAnsi="Times New Roman" w:cs="Times New Roman"/>
                <w:sz w:val="21"/>
                <w:szCs w:val="21"/>
                <w:lang w:val="en-US" w:eastAsia="zh-CN"/>
              </w:rPr>
              <w:t>景观</w:t>
            </w:r>
            <w:r>
              <w:rPr>
                <w:rFonts w:hint="default" w:ascii="Times New Roman" w:hAnsi="Times New Roman" w:cs="Times New Roman"/>
                <w:sz w:val="21"/>
                <w:szCs w:val="21"/>
              </w:rPr>
              <w:t>专业）审查管理；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2、设计单位应填写“项目基本信息”和“项目实际情况”；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3、表中“设计要点”指《湖南省绿色建筑工程设计要点》（公共建筑），“审查要点”指《湖南省绿色建筑工程技术审查要点》（公共建筑）；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4、设计单位在申报时应提交相关设计文件、及满足相关条文要求的证明材料等。</w:t>
            </w:r>
          </w:p>
        </w:tc>
      </w:tr>
    </w:tbl>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NDE0Nzk2MzRjZWE5MmIyZGU2NjkxODQyNjhhYTEifQ=="/>
  </w:docVars>
  <w:rsids>
    <w:rsidRoot w:val="7AB65124"/>
    <w:rsid w:val="02191E9F"/>
    <w:rsid w:val="30C46D8C"/>
    <w:rsid w:val="459065B6"/>
    <w:rsid w:val="4E4F684D"/>
    <w:rsid w:val="7AB65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1071</Words>
  <Characters>1128</Characters>
  <Lines>0</Lines>
  <Paragraphs>0</Paragraphs>
  <TotalTime>0</TotalTime>
  <ScaleCrop>false</ScaleCrop>
  <LinksUpToDate>false</LinksUpToDate>
  <CharactersWithSpaces>1154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2022-06-09T07:51:00Z</dcterms:created>
  <dc:creator>孟子曰</dc:creator>
  <cp:lastModifiedBy>孟子曰</cp:lastModifiedBy>
  <dcterms:modified xsi:type="dcterms:W3CDTF">2022-06-11T07:38:10Z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D991EB4999B04A1EAD63EA8100C5C1F8</vt:lpwstr>
  </property>
</Properties>
</file>