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湖南省绿色建筑工程初步设计审查表（公共建筑）-暖通空调专业</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填表日期：  年  月  日</w:t>
      </w:r>
    </w:p>
    <w:tbl>
      <w:tblPr>
        <w:tblStyle w:val="2"/>
        <w:tblW w:w="542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9"/>
        <w:gridCol w:w="758"/>
        <w:gridCol w:w="482"/>
        <w:gridCol w:w="1188"/>
        <w:gridCol w:w="2239"/>
        <w:gridCol w:w="1910"/>
        <w:gridCol w:w="896"/>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1019"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项目名称</w:t>
            </w:r>
          </w:p>
        </w:tc>
        <w:tc>
          <w:tcPr>
            <w:tcW w:w="3980" w:type="pct"/>
            <w:gridSpan w:val="5"/>
            <w:vAlign w:val="center"/>
          </w:tcPr>
          <w:p>
            <w:pPr>
              <w:bidi w:val="0"/>
              <w:jc w:val="left"/>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019"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净用地面积（㎡）</w:t>
            </w:r>
          </w:p>
        </w:tc>
        <w:tc>
          <w:tcPr>
            <w:tcW w:w="1898" w:type="pct"/>
            <w:gridSpan w:val="2"/>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总建筑面积（㎡）</w:t>
            </w:r>
          </w:p>
        </w:tc>
        <w:tc>
          <w:tcPr>
            <w:tcW w:w="1022"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19"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w:t>
            </w:r>
          </w:p>
        </w:tc>
        <w:tc>
          <w:tcPr>
            <w:tcW w:w="1898" w:type="pct"/>
            <w:gridSpan w:val="2"/>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设计单位</w:t>
            </w:r>
          </w:p>
        </w:tc>
        <w:tc>
          <w:tcPr>
            <w:tcW w:w="1022"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1019"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建设单位联系人</w:t>
            </w:r>
          </w:p>
        </w:tc>
        <w:tc>
          <w:tcPr>
            <w:tcW w:w="1898" w:type="pct"/>
            <w:gridSpan w:val="2"/>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设计单位联系人</w:t>
            </w:r>
          </w:p>
        </w:tc>
        <w:tc>
          <w:tcPr>
            <w:tcW w:w="1022"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019"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1898" w:type="pct"/>
            <w:gridSpan w:val="2"/>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联系电话</w:t>
            </w:r>
          </w:p>
        </w:tc>
        <w:tc>
          <w:tcPr>
            <w:tcW w:w="1022"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19" w:type="pct"/>
            <w:gridSpan w:val="3"/>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邮箱</w:t>
            </w:r>
          </w:p>
        </w:tc>
        <w:tc>
          <w:tcPr>
            <w:tcW w:w="1898" w:type="pct"/>
            <w:gridSpan w:val="2"/>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邮箱</w:t>
            </w:r>
          </w:p>
        </w:tc>
        <w:tc>
          <w:tcPr>
            <w:tcW w:w="1022" w:type="pct"/>
            <w:gridSpan w:val="2"/>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52" w:type="pct"/>
            <w:gridSpan w:val="2"/>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条款编号</w:t>
            </w:r>
          </w:p>
        </w:tc>
        <w:tc>
          <w:tcPr>
            <w:tcW w:w="925" w:type="pct"/>
            <w:gridSpan w:val="2"/>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项目实际情况</w:t>
            </w:r>
          </w:p>
        </w:tc>
        <w:tc>
          <w:tcPr>
            <w:tcW w:w="1239"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设计具体做法说明</w:t>
            </w:r>
          </w:p>
        </w:tc>
        <w:tc>
          <w:tcPr>
            <w:tcW w:w="1058"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证明材料</w:t>
            </w:r>
          </w:p>
        </w:tc>
        <w:tc>
          <w:tcPr>
            <w:tcW w:w="496"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自查意见</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（是否达标）</w:t>
            </w:r>
          </w:p>
        </w:tc>
        <w:tc>
          <w:tcPr>
            <w:tcW w:w="526" w:type="pct"/>
            <w:vMerge w:val="restar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审查意见（是否 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332"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设计要点</w:t>
            </w:r>
          </w:p>
        </w:tc>
        <w:tc>
          <w:tcPr>
            <w:tcW w:w="420"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审查要点</w:t>
            </w:r>
          </w:p>
        </w:tc>
        <w:tc>
          <w:tcPr>
            <w:tcW w:w="925" w:type="pct"/>
            <w:gridSpan w:val="2"/>
            <w:vMerge w:val="continue"/>
            <w:tcBorders>
              <w:top w:val="nil"/>
            </w:tcBorders>
            <w:vAlign w:val="center"/>
          </w:tcPr>
          <w:p>
            <w:pPr>
              <w:bidi w:val="0"/>
              <w:jc w:val="center"/>
              <w:rPr>
                <w:rFonts w:hint="default" w:ascii="Times New Roman" w:hAnsi="Times New Roman" w:cs="Times New Roman"/>
                <w:sz w:val="21"/>
                <w:szCs w:val="21"/>
              </w:rPr>
            </w:pPr>
          </w:p>
        </w:tc>
        <w:tc>
          <w:tcPr>
            <w:tcW w:w="1239" w:type="pct"/>
            <w:vMerge w:val="continue"/>
            <w:tcBorders>
              <w:top w:val="nil"/>
            </w:tcBorders>
            <w:vAlign w:val="center"/>
          </w:tcPr>
          <w:p>
            <w:pPr>
              <w:bidi w:val="0"/>
              <w:jc w:val="center"/>
              <w:rPr>
                <w:rFonts w:hint="default" w:ascii="Times New Roman" w:hAnsi="Times New Roman" w:cs="Times New Roman"/>
                <w:sz w:val="21"/>
                <w:szCs w:val="21"/>
              </w:rPr>
            </w:pPr>
          </w:p>
        </w:tc>
        <w:tc>
          <w:tcPr>
            <w:tcW w:w="1058" w:type="pct"/>
            <w:vMerge w:val="continue"/>
            <w:tcBorders>
              <w:top w:val="nil"/>
            </w:tcBorders>
            <w:vAlign w:val="center"/>
          </w:tcPr>
          <w:p>
            <w:pPr>
              <w:bidi w:val="0"/>
              <w:jc w:val="center"/>
              <w:rPr>
                <w:rFonts w:hint="default" w:ascii="Times New Roman" w:hAnsi="Times New Roman" w:cs="Times New Roman"/>
                <w:sz w:val="21"/>
                <w:szCs w:val="21"/>
              </w:rPr>
            </w:pPr>
          </w:p>
        </w:tc>
        <w:tc>
          <w:tcPr>
            <w:tcW w:w="496" w:type="pct"/>
            <w:vMerge w:val="continue"/>
            <w:tcBorders>
              <w:top w:val="nil"/>
            </w:tcBorders>
            <w:vAlign w:val="center"/>
          </w:tcPr>
          <w:p>
            <w:pPr>
              <w:bidi w:val="0"/>
              <w:jc w:val="center"/>
              <w:rPr>
                <w:rFonts w:hint="default" w:ascii="Times New Roman" w:hAnsi="Times New Roman" w:cs="Times New Roman"/>
                <w:sz w:val="21"/>
                <w:szCs w:val="21"/>
              </w:rPr>
            </w:pPr>
          </w:p>
        </w:tc>
        <w:tc>
          <w:tcPr>
            <w:tcW w:w="526" w:type="pct"/>
            <w:vMerge w:val="continue"/>
            <w:tcBorders>
              <w:top w:val="nil"/>
            </w:tcBorders>
            <w:vAlign w:val="center"/>
          </w:tcPr>
          <w:p>
            <w:pPr>
              <w:bidi w:val="0"/>
              <w:jc w:val="cente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332"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3.5.1</w:t>
            </w:r>
          </w:p>
        </w:tc>
        <w:tc>
          <w:tcPr>
            <w:tcW w:w="420"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w:t>
            </w:r>
          </w:p>
        </w:tc>
        <w:tc>
          <w:tcPr>
            <w:tcW w:w="925" w:type="pct"/>
            <w:gridSpan w:val="2"/>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室内空气中的氨、甲醛、苯、总挥发性有机物、氡等污染物浓度符合现行国家标准《室内</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空气质量标准》GB/T 18883的有关规定：（□是 □否）。建筑室内和建筑主出入口处应禁止吸烟，并应在醒目位置设置禁烟标志：（□是 □否）。</w:t>
            </w:r>
          </w:p>
        </w:tc>
        <w:tc>
          <w:tcPr>
            <w:tcW w:w="1239" w:type="pct"/>
            <w:vAlign w:val="center"/>
          </w:tcPr>
          <w:p>
            <w:pPr>
              <w:bidi w:val="0"/>
              <w:jc w:val="center"/>
              <w:rPr>
                <w:rFonts w:hint="default" w:ascii="Times New Roman" w:hAnsi="Times New Roman" w:cs="Times New Roman"/>
                <w:sz w:val="21"/>
                <w:szCs w:val="21"/>
              </w:rPr>
            </w:pPr>
          </w:p>
        </w:tc>
        <w:tc>
          <w:tcPr>
            <w:tcW w:w="1058" w:type="pct"/>
            <w:vAlign w:val="center"/>
          </w:tcPr>
          <w:p>
            <w:pPr>
              <w:numPr>
                <w:ilvl w:val="0"/>
                <w:numId w:val="0"/>
              </w:numPr>
              <w:bidi w:val="0"/>
              <w:ind w:leftChars="0"/>
              <w:jc w:val="center"/>
              <w:rPr>
                <w:rFonts w:hint="default" w:ascii="Times New Roman" w:hAnsi="Times New Roman" w:cs="Times New Roman"/>
                <w:sz w:val="21"/>
                <w:szCs w:val="21"/>
              </w:rPr>
            </w:pPr>
            <w:r>
              <w:rPr>
                <w:rFonts w:hint="default" w:ascii="Times New Roman" w:hAnsi="Times New Roman" w:cs="Times New Roman"/>
                <w:sz w:val="21"/>
                <w:szCs w:val="21"/>
              </w:rPr>
              <w:t>暖通空调设计说明。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□否</w:t>
            </w:r>
          </w:p>
        </w:tc>
        <w:tc>
          <w:tcPr>
            <w:tcW w:w="526" w:type="pct"/>
            <w:vAlign w:val="center"/>
          </w:tcPr>
          <w:p>
            <w:pPr>
              <w:bidi w:val="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32"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3.5.2</w:t>
            </w:r>
          </w:p>
        </w:tc>
        <w:tc>
          <w:tcPr>
            <w:tcW w:w="420"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w:t>
            </w:r>
          </w:p>
        </w:tc>
        <w:tc>
          <w:tcPr>
            <w:tcW w:w="925" w:type="pct"/>
            <w:gridSpan w:val="2"/>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采取措施避免厨房、餐厅、打印复印室、卫生间、地下车库等区域的空气和污染物串通到其他空间：（□</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是 □否）；防止厨房、卫生间的排气倒灌：（□是 □否）。</w:t>
            </w:r>
          </w:p>
        </w:tc>
        <w:tc>
          <w:tcPr>
            <w:tcW w:w="1239" w:type="pct"/>
            <w:vAlign w:val="center"/>
          </w:tcPr>
          <w:p>
            <w:pPr>
              <w:bidi w:val="0"/>
              <w:jc w:val="center"/>
              <w:rPr>
                <w:rFonts w:hint="default" w:ascii="Times New Roman" w:hAnsi="Times New Roman" w:cs="Times New Roman"/>
                <w:sz w:val="21"/>
                <w:szCs w:val="21"/>
              </w:rPr>
            </w:pPr>
            <w:bookmarkStart w:id="0" w:name="_GoBack"/>
            <w:bookmarkEnd w:id="0"/>
          </w:p>
        </w:tc>
        <w:tc>
          <w:tcPr>
            <w:tcW w:w="1058" w:type="pct"/>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暖通空调设计说明。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□否</w:t>
            </w:r>
          </w:p>
        </w:tc>
        <w:tc>
          <w:tcPr>
            <w:tcW w:w="526"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332"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3.5.3</w:t>
            </w:r>
          </w:p>
        </w:tc>
        <w:tc>
          <w:tcPr>
            <w:tcW w:w="420" w:type="pct"/>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3.5.3</w:t>
            </w:r>
          </w:p>
        </w:tc>
        <w:tc>
          <w:tcPr>
            <w:tcW w:w="925" w:type="pct"/>
            <w:gridSpan w:val="2"/>
            <w:vAlign w:val="center"/>
          </w:tcPr>
          <w:p>
            <w:pPr>
              <w:bidi w:val="0"/>
              <w:jc w:val="center"/>
              <w:rPr>
                <w:rFonts w:hint="default" w:ascii="Times New Roman" w:hAnsi="Times New Roman" w:cs="Times New Roman"/>
                <w:lang w:val="zh-CN" w:eastAsia="zh-CN"/>
              </w:rPr>
            </w:pPr>
            <w:r>
              <w:rPr>
                <w:rFonts w:hint="default" w:ascii="Times New Roman" w:hAnsi="Times New Roman" w:cs="Times New Roman"/>
                <w:lang w:val="zh-CN" w:eastAsia="zh-CN"/>
              </w:rPr>
              <w:t>建筑是否采用集中空调：（□是 □否）；</w:t>
            </w:r>
          </w:p>
          <w:p>
            <w:pPr>
              <w:bidi w:val="0"/>
              <w:jc w:val="center"/>
              <w:rPr>
                <w:rFonts w:hint="default" w:ascii="Times New Roman" w:hAnsi="Times New Roman" w:cs="Times New Roman"/>
                <w:lang w:val="zh-CN" w:eastAsia="zh-CN"/>
              </w:rPr>
            </w:pPr>
            <w:r>
              <w:rPr>
                <w:rFonts w:hint="default" w:ascii="Times New Roman" w:hAnsi="Times New Roman" w:cs="Times New Roman"/>
                <w:lang w:val="zh-CN" w:eastAsia="zh-CN"/>
              </w:rPr>
              <w:t>若是，房间内的温度、湿度、新风量等设计参数符合现行国家标准《民用建筑供暖通风与空气调节设计规范》GB 50736的有关规定：（□是 □否）；</w:t>
            </w:r>
          </w:p>
          <w:p>
            <w:pPr>
              <w:bidi w:val="0"/>
              <w:jc w:val="center"/>
              <w:rPr>
                <w:rFonts w:hint="default" w:ascii="Times New Roman" w:hAnsi="Times New Roman" w:cs="Times New Roman"/>
                <w:lang w:val="zh-CN" w:eastAsia="zh-CN"/>
              </w:rPr>
            </w:pPr>
            <w:r>
              <w:rPr>
                <w:rFonts w:hint="default" w:ascii="Times New Roman" w:hAnsi="Times New Roman" w:cs="Times New Roman"/>
                <w:lang w:val="zh-CN" w:eastAsia="zh-CN"/>
              </w:rPr>
              <w:t>若否，有保障室内热环境的措施或预留条件：（□是 □否）。</w:t>
            </w:r>
          </w:p>
        </w:tc>
        <w:tc>
          <w:tcPr>
            <w:tcW w:w="1239" w:type="pct"/>
            <w:vAlign w:val="center"/>
          </w:tcPr>
          <w:p>
            <w:pPr>
              <w:pStyle w:val="4"/>
              <w:jc w:val="center"/>
              <w:rPr>
                <w:rFonts w:hint="default" w:ascii="Times New Roman" w:hAnsi="宋体" w:eastAsia="宋体" w:cs="宋体"/>
                <w:kern w:val="2"/>
                <w:sz w:val="20"/>
                <w:szCs w:val="24"/>
                <w:lang w:val="zh-CN" w:eastAsia="zh-CN" w:bidi="zh-CN"/>
              </w:rPr>
            </w:pPr>
          </w:p>
        </w:tc>
        <w:tc>
          <w:tcPr>
            <w:tcW w:w="1058" w:type="pct"/>
            <w:vAlign w:val="center"/>
          </w:tcPr>
          <w:p>
            <w:pPr>
              <w:bidi w:val="0"/>
              <w:jc w:val="center"/>
              <w:rPr>
                <w:rFonts w:hint="default" w:ascii="Times New Roman" w:hAnsi="Times New Roman" w:cs="Times New Roman"/>
                <w:sz w:val="21"/>
                <w:szCs w:val="21"/>
                <w:lang w:val="zh-CN" w:eastAsia="zh-CN"/>
              </w:rPr>
            </w:pPr>
            <w:r>
              <w:rPr>
                <w:rFonts w:hint="default" w:ascii="Times New Roman" w:hAnsi="Times New Roman" w:cs="Times New Roman"/>
                <w:sz w:val="21"/>
                <w:szCs w:val="21"/>
              </w:rPr>
              <w:t>暖通空调设计说明。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2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32"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3.5.4</w:t>
            </w:r>
          </w:p>
        </w:tc>
        <w:tc>
          <w:tcPr>
            <w:tcW w:w="420" w:type="pct"/>
            <w:vAlign w:val="center"/>
          </w:tcPr>
          <w:p>
            <w:pPr>
              <w:bidi w:val="0"/>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3.5.4</w:t>
            </w:r>
          </w:p>
        </w:tc>
        <w:tc>
          <w:tcPr>
            <w:tcW w:w="925"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主要功能房间应具有现场独立控制的热环境调节装置：（□是 □否）。</w:t>
            </w:r>
          </w:p>
        </w:tc>
        <w:tc>
          <w:tcPr>
            <w:tcW w:w="1239" w:type="pct"/>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暖通空调设计说明。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2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32"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3.5.5</w:t>
            </w:r>
          </w:p>
        </w:tc>
        <w:tc>
          <w:tcPr>
            <w:tcW w:w="420"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3.5.5</w:t>
            </w:r>
          </w:p>
        </w:tc>
        <w:tc>
          <w:tcPr>
            <w:tcW w:w="925"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地下车库设置与排风设备联动的一氧化碳浓度监测装置：（□是 □否）。</w:t>
            </w:r>
          </w:p>
        </w:tc>
        <w:tc>
          <w:tcPr>
            <w:tcW w:w="1239" w:type="pct"/>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暖通空调设计说明。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2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32"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3.5.6</w:t>
            </w:r>
          </w:p>
        </w:tc>
        <w:tc>
          <w:tcPr>
            <w:tcW w:w="420"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3.5.6</w:t>
            </w:r>
          </w:p>
        </w:tc>
        <w:tc>
          <w:tcPr>
            <w:tcW w:w="925"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采取措施降低部分负荷、部分空间使用下的供暖、通风与空调系统能耗：（□是 □否）。</w:t>
            </w:r>
          </w:p>
        </w:tc>
        <w:tc>
          <w:tcPr>
            <w:tcW w:w="1239" w:type="pct"/>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暖通空调设计说明。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2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32"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3.5.7</w:t>
            </w:r>
          </w:p>
        </w:tc>
        <w:tc>
          <w:tcPr>
            <w:tcW w:w="420" w:type="pct"/>
            <w:vAlign w:val="center"/>
          </w:tcPr>
          <w:p>
            <w:pPr>
              <w:bidi w:val="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w:t>
            </w:r>
          </w:p>
        </w:tc>
        <w:tc>
          <w:tcPr>
            <w:tcW w:w="925"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根据建筑空间功能设置分区温度，合理降低门厅、中庭、高大空间中超出人员活动范围的空间等室内过渡区空间的温度设定标准：（□是 □否）。</w:t>
            </w:r>
          </w:p>
        </w:tc>
        <w:tc>
          <w:tcPr>
            <w:tcW w:w="1239" w:type="pct"/>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暖通空调设计说明。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26" w:type="pct"/>
            <w:vAlign w:val="center"/>
          </w:tcPr>
          <w:p>
            <w:pPr>
              <w:bidi w:val="0"/>
              <w:jc w:val="center"/>
              <w:rPr>
                <w:rFonts w:hint="default" w:ascii="Times New Roman" w:hAnsi="Times New Roman" w:cs="Times New Roman"/>
                <w:sz w:val="21"/>
                <w:szCs w:val="21"/>
              </w:rPr>
            </w:pPr>
            <w:r>
              <w:rPr>
                <w:rFonts w:hint="eastAsia" w:ascii="Times New Roman" w:hAnsi="Times New Roman" w:cs="Times New Roman"/>
                <w:kern w:val="2"/>
                <w:sz w:val="21"/>
                <w:szCs w:val="21"/>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32"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3.5.8</w:t>
            </w:r>
          </w:p>
        </w:tc>
        <w:tc>
          <w:tcPr>
            <w:tcW w:w="420"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3.5.8</w:t>
            </w:r>
          </w:p>
        </w:tc>
        <w:tc>
          <w:tcPr>
            <w:tcW w:w="925"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冷热源、输配系统和照明等各部分能耗进行独立分项计量：（□是 □否）。</w:t>
            </w:r>
          </w:p>
        </w:tc>
        <w:tc>
          <w:tcPr>
            <w:tcW w:w="1239" w:type="pct"/>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暖通空调设计说明。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2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kern w:val="2"/>
                <w:sz w:val="21"/>
                <w:szCs w:val="21"/>
                <w:lang w:val="en-US"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32"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3.5.9</w:t>
            </w:r>
          </w:p>
        </w:tc>
        <w:tc>
          <w:tcPr>
            <w:tcW w:w="420"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3.5.9</w:t>
            </w:r>
          </w:p>
        </w:tc>
        <w:tc>
          <w:tcPr>
            <w:tcW w:w="925"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1</w:t>
            </w:r>
            <w:r>
              <w:rPr>
                <w:rFonts w:hint="eastAsia" w:ascii="Times New Roman" w:hAnsi="Times New Roman" w:cs="Times New Roman"/>
                <w:lang w:val="en-US" w:eastAsia="zh-CN"/>
              </w:rPr>
              <w:t>、</w:t>
            </w:r>
            <w:r>
              <w:rPr>
                <w:rFonts w:hint="default" w:ascii="Times New Roman" w:hAnsi="Times New Roman" w:cs="Times New Roman"/>
                <w:lang w:val="en-US" w:eastAsia="zh-CN"/>
              </w:rPr>
              <w:t>建筑是否有集</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中空调通风采暖需求：（□是</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□否）；</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若是，合理设置室外的机组、冷却塔、水泵等设备的位置：（□是 □否）；</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若否，统一设置室内外机位置：（□是 □否）；</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r>
              <w:rPr>
                <w:rFonts w:hint="eastAsia" w:ascii="Times New Roman" w:hAnsi="Times New Roman" w:cs="Times New Roman"/>
                <w:lang w:val="en-US" w:eastAsia="zh-CN"/>
              </w:rPr>
              <w:t>、</w:t>
            </w:r>
            <w:r>
              <w:rPr>
                <w:rFonts w:hint="default" w:ascii="Times New Roman" w:hAnsi="Times New Roman" w:cs="Times New Roman"/>
                <w:lang w:val="en-US" w:eastAsia="zh-CN"/>
              </w:rPr>
              <w:t>在保证空调运行效率的情况下，减少噪声对室内外环境的干扰：（□是 □否）。</w:t>
            </w:r>
          </w:p>
        </w:tc>
        <w:tc>
          <w:tcPr>
            <w:tcW w:w="1239" w:type="pct"/>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暖通空调设计说明。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2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eastAsia"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332"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3.5.10</w:t>
            </w:r>
          </w:p>
        </w:tc>
        <w:tc>
          <w:tcPr>
            <w:tcW w:w="420" w:type="pct"/>
            <w:vAlign w:val="center"/>
          </w:tcPr>
          <w:p>
            <w:pPr>
              <w:bidi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3.5.10</w:t>
            </w:r>
          </w:p>
        </w:tc>
        <w:tc>
          <w:tcPr>
            <w:tcW w:w="925" w:type="pct"/>
            <w:gridSpan w:val="2"/>
            <w:vAlign w:val="center"/>
          </w:tcPr>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场地内是否无排放超标的污染源：（□是 □否）；</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若存在，采取相应治理措施，以达到无超标污染物排放的要求：（□是 □否）；</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在进行场地设计时，合理设置污染源的区位，以避免污染源对主要功能区域和周边环境产生影响：</w:t>
            </w:r>
          </w:p>
          <w:p>
            <w:pPr>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（□是 □否）。</w:t>
            </w:r>
          </w:p>
        </w:tc>
        <w:tc>
          <w:tcPr>
            <w:tcW w:w="1239" w:type="pct"/>
            <w:vAlign w:val="center"/>
          </w:tcPr>
          <w:p>
            <w:pPr>
              <w:bidi w:val="0"/>
              <w:jc w:val="center"/>
              <w:rPr>
                <w:rFonts w:hint="default" w:ascii="Times New Roman" w:hAnsi="Times New Roman" w:cs="Times New Roman"/>
                <w:sz w:val="21"/>
                <w:szCs w:val="21"/>
              </w:rPr>
            </w:pPr>
          </w:p>
        </w:tc>
        <w:tc>
          <w:tcPr>
            <w:tcW w:w="1058"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1、环评报告书（表）；</w:t>
            </w:r>
          </w:p>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2、暖通空调设计说明。</w:t>
            </w:r>
          </w:p>
        </w:tc>
        <w:tc>
          <w:tcPr>
            <w:tcW w:w="49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zh-CN" w:eastAsia="zh-CN" w:bidi="ar-SA"/>
              </w:rPr>
            </w:pPr>
            <w:r>
              <w:rPr>
                <w:rFonts w:hint="default" w:ascii="Times New Roman" w:hAnsi="Times New Roman" w:cs="Times New Roman"/>
                <w:sz w:val="21"/>
                <w:szCs w:val="21"/>
              </w:rPr>
              <w:t>□否</w:t>
            </w:r>
          </w:p>
        </w:tc>
        <w:tc>
          <w:tcPr>
            <w:tcW w:w="526" w:type="pct"/>
            <w:vAlign w:val="center"/>
          </w:tcPr>
          <w:p>
            <w:pPr>
              <w:bidi w:val="0"/>
              <w:jc w:val="center"/>
              <w:rPr>
                <w:rFonts w:hint="default" w:ascii="Times New Roman" w:hAnsi="Times New Roman" w:cs="Times New Roman"/>
                <w:sz w:val="21"/>
                <w:szCs w:val="21"/>
              </w:rPr>
            </w:pPr>
            <w:r>
              <w:rPr>
                <w:rFonts w:hint="default" w:ascii="Times New Roman" w:hAnsi="Times New Roman" w:cs="Times New Roman"/>
                <w:sz w:val="21"/>
                <w:szCs w:val="21"/>
              </w:rPr>
              <w:t>□是</w:t>
            </w:r>
          </w:p>
          <w:p>
            <w:pPr>
              <w:bidi w:val="0"/>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752" w:type="pct"/>
            <w:gridSpan w:val="2"/>
            <w:vAlign w:val="center"/>
          </w:tcPr>
          <w:p>
            <w:pPr>
              <w:bidi w:val="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自评意见</w:t>
            </w:r>
          </w:p>
        </w:tc>
        <w:tc>
          <w:tcPr>
            <w:tcW w:w="4247" w:type="pct"/>
            <w:gridSpan w:val="6"/>
            <w:vAlign w:val="center"/>
          </w:tcPr>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bidi w:val="0"/>
              <w:jc w:val="both"/>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专业负责人签名：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（单位盖章）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752" w:type="pct"/>
            <w:gridSpan w:val="2"/>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暖通空调专业审查意见</w:t>
            </w:r>
          </w:p>
        </w:tc>
        <w:tc>
          <w:tcPr>
            <w:tcW w:w="4247" w:type="pct"/>
            <w:gridSpan w:val="6"/>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专家签名：</w:t>
            </w:r>
          </w:p>
          <w:p>
            <w:pPr>
              <w:keepNext w:val="0"/>
              <w:keepLines w:val="0"/>
              <w:pageBreakBefore w:val="0"/>
              <w:widowControl w:val="0"/>
              <w:kinsoku/>
              <w:wordWrap/>
              <w:overflowPunct/>
              <w:topLinePunct w:val="0"/>
              <w:autoSpaceDE/>
              <w:autoSpaceDN/>
              <w:bidi w:val="0"/>
              <w:adjustRightInd/>
              <w:snapToGrid/>
              <w:spacing w:line="360" w:lineRule="auto"/>
              <w:ind w:firstLine="4200" w:firstLineChars="20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000" w:type="pct"/>
            <w:gridSpan w:val="8"/>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备注：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1、本表适用于湖南省新建公共建筑的初步设计（</w:t>
            </w:r>
            <w:r>
              <w:rPr>
                <w:rFonts w:hint="eastAsia" w:ascii="Times New Roman" w:hAnsi="Times New Roman" w:cs="Times New Roman"/>
                <w:sz w:val="21"/>
                <w:szCs w:val="21"/>
                <w:lang w:val="en-US" w:eastAsia="zh-CN"/>
              </w:rPr>
              <w:t>暖通空调</w:t>
            </w:r>
            <w:r>
              <w:rPr>
                <w:rFonts w:hint="default" w:ascii="Times New Roman" w:hAnsi="Times New Roman" w:cs="Times New Roman"/>
                <w:sz w:val="21"/>
                <w:szCs w:val="21"/>
              </w:rPr>
              <w:t>专业）审查管理；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2、设计单位应填写“项目基本信息”和“项目实际情况”；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3、表中“设计要点”指《湖南省绿色建筑工程设计要点》（公共建筑），“审查要点”指《湖南省绿色建筑工程技术审查要点》（公共建筑）；</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4、设计单位在申报时应提交相关设计文件、及满足相关条文要求的证明材料等。</w:t>
            </w: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NDE0Nzk2MzRjZWE5MmIyZGU2NjkxODQyNjhhYTEifQ=="/>
  </w:docVars>
  <w:rsids>
    <w:rsidRoot w:val="769A76F5"/>
    <w:rsid w:val="1B563ACD"/>
    <w:rsid w:val="4F113855"/>
    <w:rsid w:val="6EE37AB3"/>
    <w:rsid w:val="769A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1246</Words>
  <Characters>1328</Characters>
  <Lines>0</Lines>
  <Paragraphs>0</Paragraphs>
  <TotalTime>0</TotalTime>
  <ScaleCrop>false</ScaleCrop>
  <LinksUpToDate>false</LinksUpToDate>
  <CharactersWithSpaces>1360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2022-06-09T02:49:00Z</dcterms:created>
  <dc:creator>孟子曰</dc:creator>
  <cp:lastModifiedBy>孟子曰</cp:lastModifiedBy>
  <dcterms:modified xsi:type="dcterms:W3CDTF">2022-06-11T07:38:47Z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9F0A588C3DDC4908B88D3553B5499634</vt:lpwstr>
  </property>
</Properties>
</file>