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湖南省绿色建筑工程初步设计审查表（公共建筑）-结构专业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填表日期：  年  月  日</w:t>
      </w:r>
    </w:p>
    <w:tbl>
      <w:tblPr>
        <w:tblStyle w:val="2"/>
        <w:tblW w:w="533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48"/>
        <w:gridCol w:w="466"/>
        <w:gridCol w:w="1192"/>
        <w:gridCol w:w="2199"/>
        <w:gridCol w:w="1889"/>
        <w:gridCol w:w="880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29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项目名称</w:t>
            </w:r>
          </w:p>
        </w:tc>
        <w:tc>
          <w:tcPr>
            <w:tcW w:w="3970" w:type="pct"/>
            <w:gridSpan w:val="5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29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净用地面积（㎡）</w:t>
            </w:r>
          </w:p>
        </w:tc>
        <w:tc>
          <w:tcPr>
            <w:tcW w:w="191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总建筑面积（㎡）</w:t>
            </w:r>
          </w:p>
        </w:tc>
        <w:tc>
          <w:tcPr>
            <w:tcW w:w="99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29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建设单位</w:t>
            </w:r>
          </w:p>
        </w:tc>
        <w:tc>
          <w:tcPr>
            <w:tcW w:w="191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设计单位</w:t>
            </w:r>
          </w:p>
        </w:tc>
        <w:tc>
          <w:tcPr>
            <w:tcW w:w="99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29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建设单位联系人</w:t>
            </w:r>
          </w:p>
        </w:tc>
        <w:tc>
          <w:tcPr>
            <w:tcW w:w="191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设计单位联系人</w:t>
            </w:r>
          </w:p>
        </w:tc>
        <w:tc>
          <w:tcPr>
            <w:tcW w:w="99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29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91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99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29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191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99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 w:hRule="atLeast"/>
        </w:trPr>
        <w:tc>
          <w:tcPr>
            <w:tcW w:w="766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条款编号</w:t>
            </w:r>
          </w:p>
        </w:tc>
        <w:tc>
          <w:tcPr>
            <w:tcW w:w="935" w:type="pct"/>
            <w:gridSpan w:val="2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项目实际情况</w:t>
            </w:r>
          </w:p>
        </w:tc>
        <w:tc>
          <w:tcPr>
            <w:tcW w:w="1240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设计具体做法说明</w:t>
            </w:r>
          </w:p>
        </w:tc>
        <w:tc>
          <w:tcPr>
            <w:tcW w:w="1065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证明材料</w:t>
            </w:r>
          </w:p>
        </w:tc>
        <w:tc>
          <w:tcPr>
            <w:tcW w:w="496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自查意见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（是否达标）</w:t>
            </w:r>
          </w:p>
        </w:tc>
        <w:tc>
          <w:tcPr>
            <w:tcW w:w="496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审查意见（是否 达标）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设计要点</w:t>
            </w:r>
          </w:p>
        </w:tc>
        <w:tc>
          <w:tcPr>
            <w:tcW w:w="42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审查要点</w:t>
            </w:r>
          </w:p>
        </w:tc>
        <w:tc>
          <w:tcPr>
            <w:tcW w:w="935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pct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pct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" w:type="pct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" w:type="pct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4" w:hRule="atLeast"/>
        </w:trPr>
        <w:tc>
          <w:tcPr>
            <w:tcW w:w="3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3.3.1</w:t>
            </w:r>
          </w:p>
        </w:tc>
        <w:tc>
          <w:tcPr>
            <w:tcW w:w="42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935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（1）场地避开滑坡、泥石流等地质危险地段，易发生洪涝地区有可靠的防洪涝基础设施：（□是 □否）；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（2）场地无危险化学品、易燃易爆危险源的威胁、电磁辐射、含氡土壤的危害：（□是 □否）。</w:t>
            </w:r>
          </w:p>
        </w:tc>
        <w:tc>
          <w:tcPr>
            <w:tcW w:w="124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pct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1、地质勘察报告；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2、土壤含氡检测报告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9" w:hRule="atLeast"/>
        </w:trPr>
        <w:tc>
          <w:tcPr>
            <w:tcW w:w="3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3.3.2</w:t>
            </w:r>
          </w:p>
        </w:tc>
        <w:tc>
          <w:tcPr>
            <w:tcW w:w="42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3.3.2</w:t>
            </w:r>
          </w:p>
        </w:tc>
        <w:tc>
          <w:tcPr>
            <w:tcW w:w="935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（1）建筑结构满足承载力和建筑使用功能要求：（□是 □否）；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（2）建筑外墙、屋面、门窗、幕墙及外保温等围护结构满足安全、耐久和防护的要求：（□是 □否）。</w:t>
            </w:r>
          </w:p>
        </w:tc>
        <w:tc>
          <w:tcPr>
            <w:tcW w:w="124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1、结构设计说明；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2、主体与围护结构两种极限状态验算计算书。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3.3.3</w:t>
            </w:r>
          </w:p>
        </w:tc>
        <w:tc>
          <w:tcPr>
            <w:tcW w:w="42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3.3.3</w:t>
            </w:r>
          </w:p>
        </w:tc>
        <w:tc>
          <w:tcPr>
            <w:tcW w:w="935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lang w:val="zh-CN" w:eastAsia="zh-CN"/>
              </w:rPr>
              <w:t>外遮阳、太阳能设施、空调室外机位、外墙花池、外墙垂直绿化等外部设施与建筑主体结构统一设计、施工，并具备安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lang w:val="zh-CN" w:eastAsia="zh-CN"/>
              </w:rPr>
              <w:t>装、检修与维护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lang w:val="zh-CN" w:eastAsia="zh-CN"/>
              </w:rPr>
              <w:t>条件：（□是 □否）。</w:t>
            </w:r>
          </w:p>
        </w:tc>
        <w:tc>
          <w:tcPr>
            <w:tcW w:w="1240" w:type="pct"/>
            <w:vAlign w:val="center"/>
          </w:tcPr>
          <w:p>
            <w:pPr>
              <w:pStyle w:val="4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4"/>
                <w:lang w:val="zh-CN" w:eastAsia="zh-CN" w:bidi="zh-CN"/>
              </w:rPr>
            </w:pPr>
          </w:p>
        </w:tc>
        <w:tc>
          <w:tcPr>
            <w:tcW w:w="106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 w:eastAsia="zh-CN"/>
              </w:rPr>
              <w:t>1、结构设计说明；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 w:eastAsia="zh-CN"/>
              </w:rPr>
              <w:t>2、外部设施结构构件及其与主体结构连接的相关设计文件。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3.3.4</w:t>
            </w:r>
          </w:p>
        </w:tc>
        <w:tc>
          <w:tcPr>
            <w:tcW w:w="42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3.3.4</w:t>
            </w:r>
          </w:p>
        </w:tc>
        <w:tc>
          <w:tcPr>
            <w:tcW w:w="935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建筑内部的非结构构件、设备及附属设施等连接牢固并能适应主体结构变形：（□是□否）。</w:t>
            </w:r>
          </w:p>
        </w:tc>
        <w:tc>
          <w:tcPr>
            <w:tcW w:w="124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1、结构设计说明；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2、结构设计图；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3、关键连接构件的相关设计文件。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3.3.5</w:t>
            </w:r>
          </w:p>
        </w:tc>
        <w:tc>
          <w:tcPr>
            <w:tcW w:w="42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3.3.5</w:t>
            </w:r>
          </w:p>
        </w:tc>
        <w:tc>
          <w:tcPr>
            <w:tcW w:w="935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（1）室内装饰装修材料中有害物质含量符合现行国家标准《室内装饰装修材料》GB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18580～GB18587、GB24410的要求 ：（□是 □否）；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（2）无机非金属类建筑材料放射性核素限量符合现行国家标准《建筑材料放射性核素限量》GB 6566的要求：（□是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□否）。</w:t>
            </w:r>
          </w:p>
        </w:tc>
        <w:tc>
          <w:tcPr>
            <w:tcW w:w="124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结构设计说明。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3.3.6</w:t>
            </w:r>
          </w:p>
        </w:tc>
        <w:tc>
          <w:tcPr>
            <w:tcW w:w="42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935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不采用建筑形体和布置严重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规则的建筑结构：（□是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□否）。</w:t>
            </w:r>
          </w:p>
        </w:tc>
        <w:tc>
          <w:tcPr>
            <w:tcW w:w="124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pct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结构设计说明；</w:t>
            </w:r>
          </w:p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2、结构平面布置图；</w:t>
            </w:r>
          </w:p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3、建筑形体规则判定报告。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3.3.7</w:t>
            </w:r>
          </w:p>
        </w:tc>
        <w:tc>
          <w:tcPr>
            <w:tcW w:w="42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3.3.7</w:t>
            </w:r>
          </w:p>
        </w:tc>
        <w:tc>
          <w:tcPr>
            <w:tcW w:w="935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纯装饰性构件造价占建筑总造价的比例不大于1%（□是□否）。</w:t>
            </w:r>
          </w:p>
        </w:tc>
        <w:tc>
          <w:tcPr>
            <w:tcW w:w="124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pct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1、结构设计说明；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2、装饰性构件功能说明书；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3、纯装饰性构件造价比例计算书。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3.3.8</w:t>
            </w:r>
          </w:p>
        </w:tc>
        <w:tc>
          <w:tcPr>
            <w:tcW w:w="42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3.3.8</w:t>
            </w:r>
          </w:p>
        </w:tc>
        <w:tc>
          <w:tcPr>
            <w:tcW w:w="935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不采用国家和地方禁止和限制使用的建筑材料及制品：（□是□否）。</w:t>
            </w:r>
          </w:p>
        </w:tc>
        <w:tc>
          <w:tcPr>
            <w:tcW w:w="124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pct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结构设计说明。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3.3.9</w:t>
            </w:r>
          </w:p>
        </w:tc>
        <w:tc>
          <w:tcPr>
            <w:tcW w:w="422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3.3.9</w:t>
            </w:r>
          </w:p>
        </w:tc>
        <w:tc>
          <w:tcPr>
            <w:tcW w:w="935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（1）500km以内生产的建筑材料重量占建筑材料总重量的比例大于60%：（□是□否）；</w:t>
            </w:r>
          </w:p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（2）现浇混凝土采用预拌混凝土，建筑砂浆采用预拌砂浆：（□是□否）。</w:t>
            </w:r>
          </w:p>
        </w:tc>
        <w:tc>
          <w:tcPr>
            <w:tcW w:w="1240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pct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1、结构设计说明；</w:t>
            </w:r>
          </w:p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2、项目所在地无预拌混凝土、预拌砂浆采购来源者的相关说明。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9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66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自评意见</w:t>
            </w:r>
          </w:p>
        </w:tc>
        <w:tc>
          <w:tcPr>
            <w:tcW w:w="4233" w:type="pct"/>
            <w:gridSpan w:val="6"/>
            <w:vAlign w:val="center"/>
          </w:tcPr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 月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66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结构专业审查意见</w:t>
            </w:r>
          </w:p>
        </w:tc>
        <w:tc>
          <w:tcPr>
            <w:tcW w:w="4233" w:type="pct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专家签名：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500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1、本表适用于湖南省新建公共建筑的初步设计（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结构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专业）审查管理；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2、设计单位应填写“项目基本信息”和“项目实际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1"/>
                <w:szCs w:val="21"/>
              </w:rPr>
              <w:t>情况”；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3、表中“设计要点”指《湖南省绿色建筑工程设计要点》（公共建筑），“审查要点”指《湖南省绿色建筑工程技术审查要点》（公共建筑）；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4、设计单位在申报时应提交相关设计文件、及满足相关条文要求的证明材料等。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DE0Nzk2MzRjZWE5MmIyZGU2NjkxODQyNjhhYTEifQ=="/>
  </w:docVars>
  <w:rsids>
    <w:rsidRoot w:val="08817649"/>
    <w:rsid w:val="08817649"/>
    <w:rsid w:val="4118165F"/>
    <w:rsid w:val="610C305C"/>
    <w:rsid w:val="7225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1206</Words>
  <Characters>1298</Characters>
  <Lines>0</Lines>
  <Paragraphs>0</Paragraphs>
  <TotalTime>0</TotalTime>
  <ScaleCrop>false</ScaleCrop>
  <LinksUpToDate>false</LinksUpToDate>
  <CharactersWithSpaces>1318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2022-06-08T09:43:00Z</dcterms:created>
  <dc:creator>孟子曰</dc:creator>
  <cp:lastModifiedBy>孟子曰</cp:lastModifiedBy>
  <dcterms:modified xsi:type="dcterms:W3CDTF">2022-06-09T02:43:26Z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68B60426B1DB4EE38368DC28F441DC18</vt:lpwstr>
  </property>
</Properties>
</file>