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2"/>
        <w:rPr>
          <w:rFonts w:hint="eastAsia" w:ascii="黑体" w:hAnsi="黑体" w:eastAsia="黑体" w:cs="黑体"/>
          <w:b w:val="0"/>
          <w:bCs/>
          <w:sz w:val="28"/>
          <w:szCs w:val="28"/>
        </w:rPr>
      </w:pPr>
      <w:r>
        <w:rPr>
          <w:rFonts w:hint="eastAsia" w:ascii="黑体" w:hAnsi="黑体" w:eastAsia="黑体" w:cs="黑体"/>
          <w:b w:val="0"/>
          <w:bCs/>
          <w:sz w:val="28"/>
          <w:szCs w:val="28"/>
        </w:rPr>
        <w:t>湖南省绿色建筑工程施工图设计审查表（公共建筑）——建筑专业</w:t>
      </w:r>
    </w:p>
    <w:p>
      <w:pPr>
        <w:spacing w:line="360" w:lineRule="auto"/>
        <w:jc w:val="right"/>
        <w:outlineLvl w:val="1"/>
      </w:pPr>
      <w:r>
        <w:rPr>
          <w:rFonts w:hint="eastAsia"/>
        </w:rPr>
        <w:t>填表日期：  年  月   日</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1"/>
        <w:gridCol w:w="307"/>
        <w:gridCol w:w="1721"/>
        <w:gridCol w:w="521"/>
        <w:gridCol w:w="947"/>
        <w:gridCol w:w="946"/>
        <w:gridCol w:w="632"/>
        <w:gridCol w:w="992"/>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项目名称</w:t>
            </w:r>
          </w:p>
        </w:tc>
        <w:tc>
          <w:tcPr>
            <w:tcW w:w="3949"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净用地面积（㎡）</w:t>
            </w:r>
          </w:p>
        </w:tc>
        <w:tc>
          <w:tcPr>
            <w:tcW w:w="131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总建筑面积（㎡）</w:t>
            </w:r>
          </w:p>
        </w:tc>
        <w:tc>
          <w:tcPr>
            <w:tcW w:w="152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建设单位</w:t>
            </w:r>
          </w:p>
        </w:tc>
        <w:tc>
          <w:tcPr>
            <w:tcW w:w="131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（章）</w:t>
            </w: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设计单位</w:t>
            </w:r>
          </w:p>
        </w:tc>
        <w:tc>
          <w:tcPr>
            <w:tcW w:w="152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建设单位联系人</w:t>
            </w:r>
          </w:p>
        </w:tc>
        <w:tc>
          <w:tcPr>
            <w:tcW w:w="131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lang w:val="en-US" w:eastAsia="zh-CN"/>
              </w:rPr>
              <w:t>设计单位联系人</w:t>
            </w:r>
          </w:p>
        </w:tc>
        <w:tc>
          <w:tcPr>
            <w:tcW w:w="152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联系电话</w:t>
            </w:r>
          </w:p>
        </w:tc>
        <w:tc>
          <w:tcPr>
            <w:tcW w:w="131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lang w:val="en-US" w:eastAsia="zh-CN"/>
              </w:rPr>
              <w:t>联系电话</w:t>
            </w:r>
          </w:p>
        </w:tc>
        <w:tc>
          <w:tcPr>
            <w:tcW w:w="152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邮箱</w:t>
            </w:r>
          </w:p>
        </w:tc>
        <w:tc>
          <w:tcPr>
            <w:tcW w:w="131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111"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rPr>
              <w:t>邮箱</w:t>
            </w:r>
          </w:p>
        </w:tc>
        <w:tc>
          <w:tcPr>
            <w:tcW w:w="1522"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69"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rPr>
              <w:t>条款编号</w:t>
            </w:r>
          </w:p>
        </w:tc>
        <w:tc>
          <w:tcPr>
            <w:tcW w:w="1191"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lang w:bidi="ar"/>
              </w:rPr>
            </w:pPr>
            <w:r>
              <w:rPr>
                <w:rFonts w:hint="eastAsia" w:ascii="黑体" w:hAnsi="黑体" w:eastAsia="黑体" w:cs="黑体"/>
                <w:b w:val="0"/>
                <w:bCs/>
                <w:szCs w:val="21"/>
                <w:lang w:bidi="ar"/>
              </w:rPr>
              <w:t>项目实际情况</w:t>
            </w:r>
          </w:p>
        </w:tc>
        <w:tc>
          <w:tcPr>
            <w:tcW w:w="862"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lang w:bidi="ar"/>
              </w:rPr>
            </w:pPr>
            <w:r>
              <w:rPr>
                <w:rFonts w:hint="eastAsia" w:ascii="黑体" w:hAnsi="黑体" w:eastAsia="黑体" w:cs="黑体"/>
                <w:b w:val="0"/>
                <w:bCs/>
                <w:szCs w:val="21"/>
                <w:lang w:bidi="ar"/>
              </w:rPr>
              <w:t>设计具体做法说明</w:t>
            </w:r>
          </w:p>
        </w:tc>
        <w:tc>
          <w:tcPr>
            <w:tcW w:w="926"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default" w:ascii="Times New Roman" w:hAnsi="Times New Roman" w:eastAsia="黑体" w:cs="Times New Roman"/>
                <w:b w:val="0"/>
                <w:bCs/>
                <w:szCs w:val="21"/>
                <w:lang w:bidi="ar"/>
              </w:rPr>
            </w:pPr>
            <w:r>
              <w:rPr>
                <w:rFonts w:hint="default" w:ascii="Times New Roman" w:hAnsi="Times New Roman" w:eastAsia="黑体" w:cs="Times New Roman"/>
                <w:b w:val="0"/>
                <w:bCs/>
                <w:szCs w:val="21"/>
                <w:lang w:bidi="ar"/>
              </w:rPr>
              <w:t>证明材料</w:t>
            </w:r>
          </w:p>
        </w:tc>
        <w:tc>
          <w:tcPr>
            <w:tcW w:w="582"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自查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lang w:eastAsia="zh-CN"/>
              </w:rPr>
            </w:pPr>
            <w:r>
              <w:rPr>
                <w:rFonts w:hint="eastAsia" w:ascii="黑体" w:hAnsi="黑体" w:eastAsia="黑体" w:cs="黑体"/>
                <w:b w:val="0"/>
                <w:bCs/>
                <w:szCs w:val="21"/>
                <w:lang w:bidi="ar"/>
              </w:rPr>
              <w:t>意见</w:t>
            </w:r>
            <w:r>
              <w:rPr>
                <w:rFonts w:hint="eastAsia" w:ascii="黑体" w:hAnsi="黑体" w:eastAsia="黑体" w:cs="黑体"/>
                <w:b w:val="0"/>
                <w:bCs/>
                <w:szCs w:val="21"/>
                <w:lang w:eastAsia="zh-CN" w:bidi="ar"/>
              </w:rPr>
              <w:t>（</w:t>
            </w:r>
            <w:r>
              <w:rPr>
                <w:rFonts w:hint="eastAsia" w:ascii="黑体" w:hAnsi="黑体" w:eastAsia="黑体" w:cs="黑体"/>
                <w:b w:val="0"/>
                <w:bCs/>
                <w:szCs w:val="21"/>
                <w:lang w:val="en-US" w:eastAsia="zh-CN" w:bidi="ar"/>
              </w:rPr>
              <w:t>是否达标</w:t>
            </w:r>
            <w:r>
              <w:rPr>
                <w:rFonts w:hint="eastAsia" w:ascii="黑体" w:hAnsi="黑体" w:eastAsia="黑体" w:cs="黑体"/>
                <w:b w:val="0"/>
                <w:bCs/>
                <w:szCs w:val="21"/>
                <w:lang w:eastAsia="zh-CN" w:bidi="ar"/>
              </w:rPr>
              <w:t>）</w:t>
            </w:r>
          </w:p>
        </w:tc>
        <w:tc>
          <w:tcPr>
            <w:tcW w:w="568"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审查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szCs w:val="21"/>
                <w:lang w:bidi="ar"/>
              </w:rPr>
              <w:t>意见</w:t>
            </w:r>
            <w:r>
              <w:rPr>
                <w:rFonts w:hint="eastAsia" w:ascii="黑体" w:hAnsi="黑体" w:eastAsia="黑体" w:cs="黑体"/>
                <w:b w:val="0"/>
                <w:bCs/>
                <w:szCs w:val="21"/>
                <w:lang w:eastAsia="zh-CN" w:bidi="ar"/>
              </w:rPr>
              <w:t>（</w:t>
            </w:r>
            <w:r>
              <w:rPr>
                <w:rFonts w:hint="eastAsia" w:ascii="黑体" w:hAnsi="黑体" w:eastAsia="黑体" w:cs="黑体"/>
                <w:b w:val="0"/>
                <w:bCs/>
                <w:szCs w:val="21"/>
                <w:lang w:val="en-US" w:eastAsia="zh-CN" w:bidi="ar"/>
              </w:rPr>
              <w:t>是否达标</w:t>
            </w:r>
            <w:r>
              <w:rPr>
                <w:rFonts w:hint="eastAsia" w:ascii="黑体" w:hAnsi="黑体" w:eastAsia="黑体" w:cs="黑体"/>
                <w:b w:val="0"/>
                <w:bCs/>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34" w:type="pc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Cs w:val="21"/>
              </w:rPr>
            </w:pPr>
            <w:r>
              <w:rPr>
                <w:rFonts w:hint="eastAsia" w:ascii="黑体" w:hAnsi="黑体" w:eastAsia="黑体" w:cs="黑体"/>
                <w:b w:val="0"/>
                <w:bCs/>
                <w:szCs w:val="21"/>
                <w:lang w:bidi="ar"/>
              </w:rPr>
              <w:t>设计</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szCs w:val="21"/>
                <w:lang w:bidi="ar"/>
              </w:rPr>
              <w:t>要点</w:t>
            </w:r>
          </w:p>
        </w:tc>
        <w:tc>
          <w:tcPr>
            <w:tcW w:w="434" w:type="pct"/>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r>
              <w:rPr>
                <w:rFonts w:hint="eastAsia" w:ascii="黑体" w:hAnsi="黑体" w:eastAsia="黑体" w:cs="黑体"/>
                <w:b w:val="0"/>
                <w:bCs/>
              </w:rPr>
              <w:t>审查 要点</w:t>
            </w:r>
          </w:p>
        </w:tc>
        <w:tc>
          <w:tcPr>
            <w:tcW w:w="1191"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862"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rPr>
            </w:pPr>
          </w:p>
        </w:tc>
        <w:tc>
          <w:tcPr>
            <w:tcW w:w="926"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黑体" w:cs="Times New Roman"/>
                <w:b w:val="0"/>
                <w:bCs/>
              </w:rPr>
            </w:pPr>
          </w:p>
        </w:tc>
        <w:tc>
          <w:tcPr>
            <w:tcW w:w="582"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c>
          <w:tcPr>
            <w:tcW w:w="568"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pPr>
            <w:r>
              <w:rPr>
                <w:rFonts w:hint="eastAsia"/>
              </w:rPr>
              <w:t>4.1.1</w:t>
            </w:r>
          </w:p>
        </w:tc>
        <w:tc>
          <w:tcPr>
            <w:tcW w:w="434" w:type="pct"/>
            <w:vAlign w:val="center"/>
          </w:tcPr>
          <w:p>
            <w:pPr>
              <w:spacing w:line="360" w:lineRule="auto"/>
              <w:jc w:val="center"/>
            </w:pPr>
            <w:r>
              <w:rPr>
                <w:rFonts w:hint="eastAsia"/>
              </w:rPr>
              <w:t>4.1.1</w:t>
            </w:r>
          </w:p>
        </w:tc>
        <w:tc>
          <w:tcPr>
            <w:tcW w:w="1191" w:type="pct"/>
            <w:gridSpan w:val="2"/>
            <w:vAlign w:val="center"/>
          </w:tcPr>
          <w:p>
            <w:pPr>
              <w:keepNext w:val="0"/>
              <w:keepLines w:val="0"/>
              <w:pageBreakBefore w:val="0"/>
              <w:numPr>
                <w:ilvl w:val="0"/>
                <w:numId w:val="1"/>
              </w:numPr>
              <w:kinsoku/>
              <w:wordWrap/>
              <w:overflowPunct/>
              <w:topLinePunct w:val="0"/>
              <w:autoSpaceDE/>
              <w:autoSpaceDN/>
              <w:bidi w:val="0"/>
              <w:adjustRightInd/>
              <w:snapToGrid/>
              <w:spacing w:line="240" w:lineRule="auto"/>
              <w:jc w:val="center"/>
              <w:textAlignment w:val="auto"/>
              <w:rPr>
                <w:rFonts w:hint="eastAsia"/>
              </w:rPr>
            </w:pPr>
            <w:r>
              <w:rPr>
                <w:rFonts w:hint="eastAsia"/>
              </w:rPr>
              <w:t>场地避开滑坡、泥石流等地质危险地段，易发生洪涝地区有可靠的</w:t>
            </w:r>
            <w:r>
              <w:rPr>
                <w:rFonts w:hint="eastAsia"/>
                <w:lang w:val="en-US" w:eastAsia="zh-CN"/>
              </w:rPr>
              <w:t>防洪</w:t>
            </w:r>
            <w:r>
              <w:rPr>
                <w:rFonts w:hint="eastAsia"/>
              </w:rPr>
              <w:t>涝基础设施：（□是 □否）；</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highlight w:val="none"/>
              </w:rPr>
            </w:pPr>
            <w:r>
              <w:rPr>
                <w:rFonts w:hint="eastAsia"/>
                <w:lang w:eastAsia="zh-CN"/>
              </w:rPr>
              <w:t>（</w:t>
            </w:r>
            <w:r>
              <w:rPr>
                <w:rFonts w:hint="eastAsia"/>
                <w:lang w:val="en-US" w:eastAsia="zh-CN"/>
              </w:rPr>
              <w:t>2</w:t>
            </w:r>
            <w:r>
              <w:rPr>
                <w:rFonts w:hint="eastAsia"/>
                <w:lang w:eastAsia="zh-CN"/>
              </w:rPr>
              <w:t>）</w:t>
            </w:r>
            <w:r>
              <w:rPr>
                <w:rFonts w:hint="eastAsia"/>
              </w:rPr>
              <w:t>场地无危险化学品、易燃易爆危险源的威胁、电磁辐射、含氡土壤的危害：（□是 □否）。</w:t>
            </w:r>
          </w:p>
        </w:tc>
        <w:tc>
          <w:tcPr>
            <w:tcW w:w="862"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eastAsia"/>
              </w:rPr>
            </w:pPr>
          </w:p>
        </w:tc>
        <w:tc>
          <w:tcPr>
            <w:tcW w:w="926"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lang w:val="en-US" w:eastAsia="zh-CN"/>
              </w:rPr>
              <w:t>1、总平面设计说明；</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lang w:val="en-US" w:eastAsia="zh-CN"/>
              </w:rPr>
              <w:t>2、总平面图和建筑设计图；</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lang w:val="en-US" w:eastAsia="zh-CN"/>
              </w:rPr>
              <w:t>3、土壤氡浓度专项检测报告；</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lang w:val="en-US" w:eastAsia="zh-CN"/>
              </w:rPr>
              <w:t>4、地质灾害危险性评估报告；</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5、污染源相关检测报告或论证报告。</w:t>
            </w:r>
          </w:p>
        </w:tc>
        <w:tc>
          <w:tcPr>
            <w:tcW w:w="582" w:type="pct"/>
            <w:vAlign w:val="center"/>
          </w:tcPr>
          <w:p>
            <w:pPr>
              <w:spacing w:line="360" w:lineRule="auto"/>
              <w:jc w:val="center"/>
            </w:pPr>
            <w:r>
              <w:rPr>
                <w:rFonts w:hint="eastAsia"/>
              </w:rPr>
              <w:t>☑是 □否</w:t>
            </w:r>
          </w:p>
        </w:tc>
        <w:tc>
          <w:tcPr>
            <w:tcW w:w="568" w:type="pct"/>
            <w:vAlign w:val="center"/>
          </w:tcPr>
          <w:p>
            <w:pPr>
              <w:spacing w:line="360" w:lineRule="auto"/>
              <w:jc w:val="cente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eastAsia="宋体"/>
                <w:lang w:eastAsia="zh-CN"/>
              </w:rPr>
            </w:pPr>
            <w:r>
              <w:rPr>
                <w:rFonts w:hint="eastAsia"/>
              </w:rPr>
              <w:t>4.1.</w:t>
            </w:r>
            <w:r>
              <w:rPr>
                <w:rFonts w:hint="eastAsia"/>
                <w:lang w:val="en-US" w:eastAsia="zh-CN"/>
              </w:rPr>
              <w:t>2</w:t>
            </w:r>
          </w:p>
        </w:tc>
        <w:tc>
          <w:tcPr>
            <w:tcW w:w="434" w:type="pct"/>
            <w:vAlign w:val="center"/>
          </w:tcPr>
          <w:p>
            <w:pPr>
              <w:spacing w:line="360" w:lineRule="auto"/>
              <w:jc w:val="center"/>
              <w:rPr>
                <w:rFonts w:hint="eastAsia" w:eastAsia="宋体"/>
                <w:lang w:eastAsia="zh-CN"/>
              </w:rPr>
            </w:pPr>
            <w:r>
              <w:rPr>
                <w:rFonts w:hint="eastAsia"/>
              </w:rPr>
              <w:t>4.1.</w:t>
            </w:r>
            <w:r>
              <w:rPr>
                <w:rFonts w:hint="eastAsia"/>
                <w:lang w:val="en-US" w:eastAsia="zh-CN"/>
              </w:rPr>
              <w:t>2</w:t>
            </w:r>
          </w:p>
        </w:tc>
        <w:tc>
          <w:tcPr>
            <w:tcW w:w="1191"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场地内无有排放超标的污染源：（□是 □否）。</w:t>
            </w:r>
          </w:p>
        </w:tc>
        <w:tc>
          <w:tcPr>
            <w:tcW w:w="862"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lang w:val="en-US" w:eastAsia="zh-CN"/>
              </w:rPr>
              <w:t>1、总平面设计说明；</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tc>
        <w:tc>
          <w:tcPr>
            <w:tcW w:w="582" w:type="pct"/>
            <w:vAlign w:val="center"/>
          </w:tcPr>
          <w:p>
            <w:pPr>
              <w:spacing w:line="360" w:lineRule="auto"/>
              <w:jc w:val="center"/>
              <w:rPr>
                <w:rFonts w:hint="eastAsia"/>
              </w:rPr>
            </w:pPr>
            <w:r>
              <w:rPr>
                <w:rFonts w:hint="eastAsia"/>
              </w:rPr>
              <w:t>☑是 □否</w:t>
            </w:r>
          </w:p>
        </w:tc>
        <w:tc>
          <w:tcPr>
            <w:tcW w:w="568" w:type="pct"/>
            <w:vAlign w:val="center"/>
          </w:tcPr>
          <w:p>
            <w:pPr>
              <w:spacing w:line="360" w:lineRule="auto"/>
              <w:jc w:val="center"/>
              <w:rPr>
                <w:rFonts w:hint="eastAsia"/>
              </w:rP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rPr>
            </w:pPr>
            <w:r>
              <w:rPr>
                <w:rFonts w:hint="eastAsia"/>
              </w:rPr>
              <w:t>4.1.</w:t>
            </w:r>
            <w:r>
              <w:rPr>
                <w:rFonts w:hint="eastAsia"/>
                <w:lang w:val="en-US" w:eastAsia="zh-CN"/>
              </w:rPr>
              <w:t>3</w:t>
            </w:r>
          </w:p>
        </w:tc>
        <w:tc>
          <w:tcPr>
            <w:tcW w:w="434" w:type="pct"/>
            <w:vAlign w:val="center"/>
          </w:tcPr>
          <w:p>
            <w:pPr>
              <w:spacing w:line="360" w:lineRule="auto"/>
              <w:jc w:val="center"/>
              <w:rPr>
                <w:rFonts w:hint="eastAsia" w:eastAsia="宋体"/>
                <w:lang w:eastAsia="zh-CN"/>
              </w:rPr>
            </w:pPr>
            <w:r>
              <w:rPr>
                <w:rFonts w:hint="eastAsia"/>
                <w:lang w:eastAsia="zh-CN"/>
              </w:rPr>
              <w:t>——</w:t>
            </w:r>
          </w:p>
        </w:tc>
        <w:tc>
          <w:tcPr>
            <w:tcW w:w="1191"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场地内环境噪声符合现行国家标准《声环境质量标准》GB 3096的有关规定：（□是 □否）。</w:t>
            </w:r>
          </w:p>
        </w:tc>
        <w:tc>
          <w:tcPr>
            <w:tcW w:w="862"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1、环评报告书（表）；</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2、环境噪声模拟分析报告；</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3、总平面及设计说明。</w:t>
            </w:r>
          </w:p>
        </w:tc>
        <w:tc>
          <w:tcPr>
            <w:tcW w:w="582" w:type="pct"/>
            <w:vAlign w:val="center"/>
          </w:tcPr>
          <w:p>
            <w:pPr>
              <w:spacing w:line="360" w:lineRule="auto"/>
              <w:jc w:val="center"/>
              <w:rPr>
                <w:rFonts w:hint="eastAsia"/>
              </w:rPr>
            </w:pPr>
            <w:r>
              <w:rPr>
                <w:rFonts w:hint="eastAsia"/>
              </w:rPr>
              <w:t>☑是 □否</w:t>
            </w:r>
          </w:p>
        </w:tc>
        <w:tc>
          <w:tcPr>
            <w:tcW w:w="568" w:type="pct"/>
            <w:vAlign w:val="center"/>
          </w:tcPr>
          <w:p>
            <w:pPr>
              <w:spacing w:line="360" w:lineRule="auto"/>
              <w:jc w:val="center"/>
              <w:rPr>
                <w:rFonts w:hint="eastAsi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rPr>
            </w:pPr>
            <w:r>
              <w:rPr>
                <w:rFonts w:hint="eastAsia"/>
              </w:rPr>
              <w:t>4.1.4</w:t>
            </w:r>
          </w:p>
        </w:tc>
        <w:tc>
          <w:tcPr>
            <w:tcW w:w="434" w:type="pct"/>
            <w:vAlign w:val="center"/>
          </w:tcPr>
          <w:p>
            <w:pPr>
              <w:spacing w:line="360" w:lineRule="auto"/>
              <w:jc w:val="center"/>
              <w:rPr>
                <w:rFonts w:hint="eastAsia"/>
                <w:lang w:eastAsia="zh-CN"/>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rPr>
              <w:t>室外热环境满足国家现行有关标准的要求：（□是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t>1、总平面设计说明；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rPr>
              <w:t>2、总平面图。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lang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434" w:type="pct"/>
            <w:vAlign w:val="center"/>
          </w:tcPr>
          <w:p>
            <w:pPr>
              <w:spacing w:line="360" w:lineRule="auto"/>
              <w:jc w:val="center"/>
              <w:rPr>
                <w:rFonts w:hint="eastAsia"/>
              </w:rPr>
            </w:pPr>
            <w:r>
              <w:rPr>
                <w:rFonts w:hint="eastAsia"/>
              </w:rPr>
              <w:t>4.1.5</w:t>
            </w:r>
          </w:p>
        </w:tc>
        <w:tc>
          <w:tcPr>
            <w:tcW w:w="434" w:type="pct"/>
            <w:vAlign w:val="center"/>
          </w:tcPr>
          <w:p>
            <w:pPr>
              <w:spacing w:line="360" w:lineRule="auto"/>
              <w:jc w:val="center"/>
              <w:rPr>
                <w:rFonts w:hint="eastAsia"/>
                <w:lang w:eastAsia="zh-CN"/>
              </w:rPr>
            </w:pPr>
            <w:r>
              <w:rPr>
                <w:rFonts w:hint="eastAsia"/>
              </w:rPr>
              <w:t>4.1.5</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rPr>
              <w:t>建筑、室外场地、公共绿地、城市道路相互之间设置连贯的无障碍步行系统：（□是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1、总平面设计说明；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3、总平面图（无障碍系统设计图）。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lang w:eastAsia="zh-CN"/>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rPr>
            </w:pPr>
            <w:r>
              <w:rPr>
                <w:rFonts w:hint="eastAsia"/>
              </w:rPr>
              <w:t>4.1.6</w:t>
            </w:r>
          </w:p>
        </w:tc>
        <w:tc>
          <w:tcPr>
            <w:tcW w:w="434" w:type="pct"/>
            <w:vAlign w:val="center"/>
          </w:tcPr>
          <w:p>
            <w:pPr>
              <w:spacing w:line="360" w:lineRule="auto"/>
              <w:jc w:val="center"/>
              <w:rPr>
                <w:rFonts w:hint="eastAsia"/>
                <w:lang w:eastAsia="zh-CN"/>
              </w:rPr>
            </w:pPr>
            <w:r>
              <w:rPr>
                <w:rFonts w:hint="eastAsia"/>
              </w:rPr>
              <w:t>——</w:t>
            </w:r>
          </w:p>
        </w:tc>
        <w:tc>
          <w:tcPr>
            <w:tcW w:w="1191" w:type="pct"/>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right="34"/>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场地人行出入口500m内设有公共交通站点或配备联系公共交通站点的专用接驳车：（□是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1、建筑设计总说明；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2、区域位置图；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3、总平面图。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lang w:eastAsia="zh-CN"/>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eastAsia="宋体"/>
                <w:lang w:eastAsia="zh-CN"/>
              </w:rPr>
            </w:pPr>
            <w:r>
              <w:rPr>
                <w:rFonts w:hint="eastAsia"/>
              </w:rPr>
              <w:t>4.1.</w:t>
            </w:r>
            <w:r>
              <w:rPr>
                <w:rFonts w:hint="eastAsia"/>
                <w:lang w:val="en-US" w:eastAsia="zh-CN"/>
              </w:rPr>
              <w:t>7</w:t>
            </w:r>
          </w:p>
        </w:tc>
        <w:tc>
          <w:tcPr>
            <w:tcW w:w="434" w:type="pct"/>
            <w:vAlign w:val="center"/>
          </w:tcPr>
          <w:p>
            <w:pPr>
              <w:spacing w:line="360" w:lineRule="auto"/>
              <w:jc w:val="center"/>
              <w:rPr>
                <w:rFonts w:hint="eastAsia" w:eastAsia="宋体"/>
                <w:lang w:eastAsia="zh-CN"/>
              </w:rPr>
            </w:pPr>
            <w:r>
              <w:rPr>
                <w:rFonts w:hint="eastAsia"/>
              </w:rPr>
              <w:t>4.1.</w:t>
            </w:r>
            <w:r>
              <w:rPr>
                <w:rFonts w:hint="eastAsia"/>
                <w:lang w:val="en-US" w:eastAsia="zh-CN"/>
              </w:rPr>
              <w:t>7</w:t>
            </w:r>
          </w:p>
        </w:tc>
        <w:tc>
          <w:tcPr>
            <w:tcW w:w="1191"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（1）停车场所具有电动汽车充电设施或具备充电设施的安装条件：（□</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是 □否）；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w:t>
            </w:r>
            <w:r>
              <w:rPr>
                <w:rFonts w:hint="default" w:ascii="Times New Roman" w:hAnsi="Times New Roman" w:eastAsia="宋体" w:cs="Times New Roman"/>
                <w:kern w:val="2"/>
                <w:sz w:val="21"/>
                <w:szCs w:val="22"/>
                <w:lang w:val="en-US" w:eastAsia="zh-CN" w:bidi="ar-SA"/>
              </w:rPr>
              <w:t>2</w:t>
            </w:r>
            <w:r>
              <w:rPr>
                <w:rFonts w:hint="eastAsia" w:ascii="Times New Roman" w:hAnsi="Times New Roman" w:eastAsia="宋体" w:cs="Times New Roman"/>
                <w:kern w:val="2"/>
                <w:sz w:val="21"/>
                <w:szCs w:val="22"/>
                <w:lang w:val="en-US" w:eastAsia="zh-CN" w:bidi="ar-SA"/>
              </w:rPr>
              <w:t>）合理设置电动汽车和无障碍汽车停车位：（□是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2、总平面图；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3、建筑平面图。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eastAsia="宋体"/>
                <w:lang w:eastAsia="zh-CN"/>
              </w:rPr>
            </w:pPr>
            <w:r>
              <w:rPr>
                <w:rFonts w:hint="eastAsia"/>
              </w:rPr>
              <w:t>4.1.</w:t>
            </w:r>
            <w:r>
              <w:rPr>
                <w:rFonts w:hint="eastAsia"/>
                <w:lang w:val="en-US" w:eastAsia="zh-CN"/>
              </w:rPr>
              <w:t>8</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宋体" w:hAnsi="宋体" w:eastAsia="宋体" w:cs="宋体"/>
                <w:color w:val="000000"/>
                <w:kern w:val="0"/>
                <w:sz w:val="21"/>
                <w:szCs w:val="21"/>
                <w:lang w:val="en-US" w:eastAsia="zh-CN" w:bidi="ar"/>
              </w:rPr>
              <w:t>自</w:t>
            </w:r>
            <w:r>
              <w:rPr>
                <w:rFonts w:hint="eastAsia" w:ascii="Times New Roman" w:hAnsi="Times New Roman" w:eastAsia="宋体" w:cs="Times New Roman"/>
                <w:kern w:val="2"/>
                <w:sz w:val="21"/>
                <w:szCs w:val="22"/>
                <w:lang w:val="en-US" w:eastAsia="zh-CN" w:bidi="ar-SA"/>
              </w:rPr>
              <w:t>行车停车场所位置合理、方便出入：（□是</w:t>
            </w:r>
            <w:r>
              <w:rPr>
                <w:rFonts w:hint="eastAsia" w:cs="Times New Roman"/>
                <w:kern w:val="2"/>
                <w:sz w:val="21"/>
                <w:szCs w:val="22"/>
                <w:lang w:val="en-US" w:eastAsia="zh-CN" w:bidi="ar-SA"/>
              </w:rPr>
              <w:t xml:space="preserve"> </w:t>
            </w:r>
            <w:r>
              <w:rPr>
                <w:rFonts w:hint="eastAsia" w:ascii="Times New Roman" w:hAnsi="Times New Roman" w:eastAsia="宋体" w:cs="Times New Roman"/>
                <w:kern w:val="2"/>
                <w:sz w:val="21"/>
                <w:szCs w:val="22"/>
                <w:lang w:val="en-US" w:eastAsia="zh-CN" w:bidi="ar-SA"/>
              </w:rPr>
              <w:t>□否）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1、总平面图（停车（库）；</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2、建筑设计图（自行车停车设施施工图）。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spacing w:line="360" w:lineRule="auto"/>
              <w:jc w:val="center"/>
              <w:rPr>
                <w:rFonts w:hint="eastAsia"/>
              </w:rPr>
            </w:pPr>
            <w:r>
              <w:rPr>
                <w:rFonts w:hint="eastAsia"/>
              </w:rPr>
              <w:t>4.1.</w:t>
            </w:r>
            <w:r>
              <w:rPr>
                <w:rFonts w:hint="eastAsia"/>
                <w:lang w:val="en-US" w:eastAsia="zh-CN"/>
              </w:rPr>
              <w:t>9</w:t>
            </w:r>
          </w:p>
        </w:tc>
        <w:tc>
          <w:tcPr>
            <w:tcW w:w="434" w:type="pct"/>
            <w:vAlign w:val="center"/>
          </w:tcPr>
          <w:p>
            <w:pPr>
              <w:spacing w:line="360" w:lineRule="auto"/>
              <w:jc w:val="center"/>
              <w:rPr>
                <w:rFonts w:hint="eastAsia"/>
              </w:rPr>
            </w:pPr>
            <w:r>
              <w:rPr>
                <w:rFonts w:hint="eastAsia"/>
              </w:rPr>
              <w:t>4.1.</w:t>
            </w:r>
            <w:r>
              <w:rPr>
                <w:rFonts w:hint="eastAsia"/>
                <w:lang w:val="en-US" w:eastAsia="zh-CN"/>
              </w:rPr>
              <w:t>9</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rPr>
            </w:pPr>
            <w:r>
              <w:rPr>
                <w:rFonts w:hint="eastAsia"/>
                <w:lang w:val="en-US" w:eastAsia="zh-CN"/>
              </w:rPr>
              <w:t>（1）配建的绿地符合所在地城乡规划的规定：（□是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w:t>
            </w:r>
            <w:r>
              <w:rPr>
                <w:rFonts w:hint="default"/>
                <w:lang w:val="en-US" w:eastAsia="zh-CN"/>
              </w:rPr>
              <w:t>2</w:t>
            </w:r>
            <w:r>
              <w:rPr>
                <w:rFonts w:hint="eastAsia"/>
                <w:lang w:val="en-US" w:eastAsia="zh-CN"/>
              </w:rPr>
              <w:t>）种植适应当地气候和生态环境条件，且无毒害、易维护，体现地方特</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色的乡土植物，其占场地全部植物种类的比例不小于70%： （□是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lang w:val="en-US" w:eastAsia="zh-CN"/>
              </w:rPr>
              <w:t>（3）合理选择绿化方式，采用乔木、灌木、草等复层绿化方式，种植区域覆土深度不小于1.2m，排水能力满足植物生长需求：（□是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1、总平面；</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2、竖向布置设计说明。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rPr>
              <w:t>4.1.</w:t>
            </w:r>
            <w:r>
              <w:rPr>
                <w:rFonts w:hint="eastAsia"/>
                <w:lang w:val="en-US" w:eastAsia="zh-CN"/>
              </w:rPr>
              <w:t>10</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（1）场地的竖向设计有利于雨水的收集与排放，能有效组织雨水的下渗、滞蓄或再利用：（□是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w:t>
            </w:r>
            <w:r>
              <w:rPr>
                <w:rFonts w:hint="default"/>
                <w:lang w:val="en-US" w:eastAsia="zh-CN"/>
              </w:rPr>
              <w:t>2</w:t>
            </w:r>
            <w:r>
              <w:rPr>
                <w:rFonts w:hint="eastAsia"/>
                <w:lang w:val="en-US" w:eastAsia="zh-CN"/>
              </w:rPr>
              <w:t>）项目场地是否大于</w:t>
            </w:r>
            <w:r>
              <w:rPr>
                <w:rFonts w:hint="default"/>
                <w:lang w:val="en-US" w:eastAsia="zh-CN"/>
              </w:rPr>
              <w:t>10h</w:t>
            </w:r>
            <w:r>
              <w:rPr>
                <w:rFonts w:hint="eastAsia"/>
                <w:lang w:val="en-US" w:eastAsia="zh-CN"/>
              </w:rPr>
              <w:t>㎡：（□是 □否）；若大于，进行雨水控制利用专项设计：（□是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w:t>
            </w:r>
            <w:r>
              <w:rPr>
                <w:rFonts w:hint="default"/>
                <w:lang w:val="en-US" w:eastAsia="zh-CN"/>
              </w:rPr>
              <w:t>3</w:t>
            </w:r>
            <w:r>
              <w:rPr>
                <w:rFonts w:hint="eastAsia"/>
                <w:lang w:val="en-US" w:eastAsia="zh-CN"/>
              </w:rPr>
              <w:t>）项目绿地率是否≥</w:t>
            </w:r>
            <w:r>
              <w:rPr>
                <w:rFonts w:hint="default"/>
                <w:lang w:val="en-US" w:eastAsia="zh-CN"/>
              </w:rPr>
              <w:t>20%</w:t>
            </w:r>
            <w:r>
              <w:rPr>
                <w:rFonts w:hint="eastAsia"/>
                <w:lang w:val="en-US" w:eastAsia="zh-CN"/>
              </w:rPr>
              <w:t>：（□是 □否）；项目要求下凹式绿地、雨水花园等有调蓄雨水功能的绿地或水体的面积之和占绿地面积的比例不小于</w:t>
            </w:r>
            <w:r>
              <w:rPr>
                <w:rFonts w:hint="default"/>
                <w:lang w:val="en-US" w:eastAsia="zh-CN"/>
              </w:rPr>
              <w:t>30%</w:t>
            </w:r>
            <w:r>
              <w:rPr>
                <w:rFonts w:hint="eastAsia"/>
                <w:lang w:val="en-US" w:eastAsia="zh-CN"/>
              </w:rPr>
              <w:t>：（□是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1、总平面设计说明；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2、总平面图。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4.1.</w:t>
            </w:r>
            <w:r>
              <w:rPr>
                <w:rFonts w:hint="eastAsia"/>
                <w:lang w:val="en-US" w:eastAsia="zh-CN"/>
              </w:rPr>
              <w:t>11</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lang w:val="en-US" w:eastAsia="zh-CN"/>
              </w:rPr>
              <w:t>建筑内外均设置便于识别和使用的标识系统：（□是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1、总平面设计说明；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2、建筑设计说明。</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4.1.</w:t>
            </w:r>
            <w:r>
              <w:rPr>
                <w:rFonts w:hint="eastAsia"/>
                <w:lang w:val="en-US" w:eastAsia="zh-CN"/>
              </w:rPr>
              <w:t>12</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lang w:val="en-US" w:eastAsia="zh-CN"/>
              </w:rPr>
              <w:t>生活垃圾分类收集，垃圾容器和收集点的设置合理并与周围景观协调：（□是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numPr>
                <w:ilvl w:val="0"/>
                <w:numId w:val="2"/>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总平面图；</w:t>
            </w:r>
          </w:p>
          <w:p>
            <w:pPr>
              <w:keepNext w:val="0"/>
              <w:keepLines w:val="0"/>
              <w:pageBreakBefore w:val="0"/>
              <w:widowControl w:val="0"/>
              <w:numPr>
                <w:ilvl w:val="0"/>
                <w:numId w:val="0"/>
              </w:numPr>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rPr>
              <w:t>4.</w:t>
            </w:r>
            <w:r>
              <w:rPr>
                <w:rFonts w:hint="eastAsia"/>
                <w:lang w:val="en-US" w:eastAsia="zh-CN"/>
              </w:rPr>
              <w:t>2.1</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宋体" w:hAnsi="宋体" w:eastAsia="宋体" w:cs="宋体"/>
                <w:color w:val="000000"/>
                <w:kern w:val="0"/>
                <w:sz w:val="21"/>
                <w:szCs w:val="21"/>
                <w:lang w:val="en-US" w:eastAsia="zh-CN" w:bidi="ar"/>
              </w:rPr>
              <w:t>走</w:t>
            </w:r>
            <w:r>
              <w:rPr>
                <w:rFonts w:hint="eastAsia"/>
                <w:lang w:val="en-US" w:eastAsia="zh-CN"/>
              </w:rPr>
              <w:t>廊、疏散通道等通行空间满足紧急疏散、应急救护等要求，且保持畅通：</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lang w:val="en-US" w:eastAsia="zh-CN"/>
              </w:rPr>
              <w:t>（□是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1、建筑设计说明（消 防设计说明）；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2、建筑平面图。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2.2</w:t>
            </w:r>
          </w:p>
        </w:tc>
        <w:tc>
          <w:tcPr>
            <w:tcW w:w="434" w:type="pct"/>
            <w:vAlign w:val="center"/>
          </w:tcPr>
          <w:p>
            <w:pPr>
              <w:spacing w:line="360" w:lineRule="auto"/>
              <w:jc w:val="center"/>
              <w:rPr>
                <w:rFonts w:hint="default" w:eastAsia="宋体"/>
                <w:lang w:val="en-US" w:eastAsia="zh-CN"/>
              </w:rPr>
            </w:pPr>
            <w:r>
              <w:rPr>
                <w:rFonts w:hint="eastAsia"/>
                <w:lang w:val="en-US" w:eastAsia="zh-CN"/>
              </w:rPr>
              <w:t>4.2.2</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建筑造型要素简约，无大量装饰性构件：（□是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纯装饰性构件造价占建筑总造价的比例不大于 1%：（□是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3、装饰性构件功能说明书；</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4、纯装饰性构件造 价比例计算书。</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2.3</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（1）建筑结构满足承载力和建筑使用功能要求：（□是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）建筑外墙、屋面</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门窗、幕墙及外保温等围护结构满足安全、耐久和防护的要求：（□是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2.4</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（1）外遮阳、太阳能设施、空调室外机位、外墙花池、外墙垂直绿化等外部设施与建筑主体结构统一设计、施工：（□是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宋体" w:hAnsi="宋体" w:eastAsia="宋体" w:cs="宋体"/>
                <w:color w:val="000000"/>
                <w:kern w:val="0"/>
                <w:sz w:val="21"/>
                <w:szCs w:val="21"/>
                <w:lang w:val="en-US" w:eastAsia="zh-CN" w:bidi="ar"/>
              </w:rPr>
              <w:t>（2）具备安装、检修与维护条件：（□是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2.5</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宋体" w:hAnsi="宋体" w:eastAsia="宋体" w:cs="宋体"/>
                <w:color w:val="000000"/>
                <w:kern w:val="0"/>
                <w:sz w:val="21"/>
                <w:szCs w:val="21"/>
                <w:lang w:val="en-US" w:eastAsia="zh-CN" w:bidi="ar"/>
              </w:rPr>
              <w:t>建筑内部的非结构构件、设备及附属设施等连接牢固并能适应主体结构变形：（□是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lang w:val="en-US" w:eastAsia="zh-CN"/>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2.6</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建筑外门窗安装牢固，其抗风压性能和水密性能符合国家现行有关标准的规定：（□是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建筑设计说明；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2、建筑设计图。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3、计算书。</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2.7</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（1）卫生间、浴室的地面设置防水层：（□是□否）；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）墙面、顶棚设置防潮层：（□是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2、建筑设计图；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3、防水防潮措施及技术参数要求说明书。</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2.8</w:t>
            </w:r>
          </w:p>
        </w:tc>
        <w:tc>
          <w:tcPr>
            <w:tcW w:w="434" w:type="pct"/>
            <w:vAlign w:val="center"/>
          </w:tcPr>
          <w:p>
            <w:pPr>
              <w:spacing w:line="360" w:lineRule="auto"/>
              <w:jc w:val="center"/>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（1）室内装饰装修材料中有害物质含量符合现行国家标准《室内装饰装</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修材料》</w:t>
            </w:r>
            <w:r>
              <w:rPr>
                <w:rFonts w:hint="default"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18580</w:t>
            </w:r>
            <w:r>
              <w:rPr>
                <w:rFonts w:hint="eastAsia" w:ascii="宋体" w:hAnsi="宋体" w:eastAsia="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 xml:space="preserve">18587 </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24410</w:t>
            </w:r>
            <w:r>
              <w:rPr>
                <w:rFonts w:hint="eastAsia" w:ascii="宋体" w:hAnsi="宋体" w:eastAsia="宋体" w:cs="宋体"/>
                <w:color w:val="000000"/>
                <w:kern w:val="0"/>
                <w:sz w:val="21"/>
                <w:szCs w:val="21"/>
                <w:lang w:val="en-US" w:eastAsia="zh-CN" w:bidi="ar"/>
              </w:rPr>
              <w:t>的要求：（□是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）无机非金属类建筑材料放射性核素限量符合现行国家标准《建筑材料放射性核素限量》GB 6566的要求：（□是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建筑与装饰装修设计、说明文件。</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2.9</w:t>
            </w:r>
          </w:p>
        </w:tc>
        <w:tc>
          <w:tcPr>
            <w:tcW w:w="434" w:type="pct"/>
            <w:vAlign w:val="center"/>
          </w:tcPr>
          <w:p>
            <w:pPr>
              <w:spacing w:line="360" w:lineRule="auto"/>
              <w:jc w:val="center"/>
              <w:rPr>
                <w:rFonts w:hint="eastAsia"/>
              </w:rPr>
            </w:pPr>
            <w:r>
              <w:rPr>
                <w:rFonts w:hint="eastAsia"/>
              </w:rPr>
              <w:t>4.</w:t>
            </w:r>
            <w:r>
              <w:rPr>
                <w:rFonts w:hint="eastAsia"/>
                <w:lang w:val="en-US" w:eastAsia="zh-CN"/>
              </w:rPr>
              <w:t>2.9</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（1）室内空气中的氨、甲醛、苯、总挥发性有机物、氡等污染物浓度符合现行国家标准《室内空气质量标准》</w:t>
            </w:r>
            <w:r>
              <w:rPr>
                <w:rFonts w:hint="default" w:ascii="宋体" w:hAnsi="宋体" w:eastAsia="宋体" w:cs="宋体"/>
                <w:color w:val="000000"/>
                <w:kern w:val="0"/>
                <w:sz w:val="21"/>
                <w:szCs w:val="21"/>
                <w:lang w:val="en-US" w:eastAsia="zh-CN" w:bidi="ar"/>
              </w:rPr>
              <w:t>GB/T18883</w:t>
            </w:r>
            <w:r>
              <w:rPr>
                <w:rFonts w:hint="eastAsia" w:ascii="宋体" w:hAnsi="宋体" w:eastAsia="宋体" w:cs="宋体"/>
                <w:color w:val="000000"/>
                <w:kern w:val="0"/>
                <w:sz w:val="21"/>
                <w:szCs w:val="21"/>
                <w:lang w:val="en-US" w:eastAsia="zh-CN" w:bidi="ar"/>
              </w:rPr>
              <w:t>的有关规定：（□是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）建筑室内和建筑主出入口应禁止吸烟：（□是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建筑设计说明。</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rPr>
            </w:pPr>
            <w:r>
              <w:rPr>
                <w:rFonts w:hint="eastAsia"/>
              </w:rPr>
              <w:t>4.</w:t>
            </w:r>
            <w:r>
              <w:rPr>
                <w:rFonts w:hint="eastAsia"/>
                <w:lang w:val="en-US" w:eastAsia="zh-CN"/>
              </w:rPr>
              <w:t>2.10</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rPr>
            </w:pPr>
            <w:r>
              <w:rPr>
                <w:rFonts w:hint="eastAsia"/>
              </w:rPr>
              <w:t>4.</w:t>
            </w:r>
            <w:r>
              <w:rPr>
                <w:rFonts w:hint="eastAsia"/>
                <w:lang w:val="en-US" w:eastAsia="zh-CN"/>
              </w:rPr>
              <w:t>2.10</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（1）采取措施避免厨房、餐厅、打印复印室、卫生间、地下车库等区域的空气和污染物串通到其他空间：（□是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）防止厨房、卫生间的排气倒灌：（□是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建筑设计图。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2.11</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2.11</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（1）室内噪声级符合现行国家标准《民用建筑隔声设计规范》</w:t>
            </w:r>
            <w:r>
              <w:rPr>
                <w:rFonts w:hint="default"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50118</w:t>
            </w:r>
            <w:r>
              <w:rPr>
                <w:rFonts w:hint="eastAsia" w:ascii="宋体" w:hAnsi="宋体" w:eastAsia="宋体" w:cs="宋体"/>
                <w:color w:val="000000"/>
                <w:kern w:val="0"/>
                <w:sz w:val="21"/>
                <w:szCs w:val="21"/>
                <w:lang w:val="en-US" w:eastAsia="zh-CN" w:bidi="ar"/>
              </w:rPr>
              <w:t>中的低限要求：（□是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）外墙、隔墙、楼板和门窗的隔声性能应满足现行国家标准《民用建筑隔声设计规范》GB</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2"/>
                <w:lang w:val="en-US" w:eastAsia="zh-CN" w:bidi="ar-SA"/>
              </w:rPr>
            </w:pPr>
            <w:r>
              <w:rPr>
                <w:rFonts w:hint="eastAsia" w:ascii="宋体" w:hAnsi="宋体" w:eastAsia="宋体" w:cs="宋体"/>
                <w:color w:val="000000"/>
                <w:kern w:val="0"/>
                <w:sz w:val="21"/>
                <w:szCs w:val="21"/>
                <w:lang w:val="en-US" w:eastAsia="zh-CN" w:bidi="ar"/>
              </w:rPr>
              <w:t>50118中的低限要求：（□是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2、总平面图；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3、建筑平面图；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4、室内噪声分析报告；</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5、围护结构隔声计算或者分析报告；</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6、建筑构造大样图。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2.12</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2.12</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（1）在室内设计温度、湿度条件下，建筑非透光围护结构内表面不结露：（□是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）供暖建筑的屋面、外墙内部不产生冷凝：（□是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）屋顶和外墙隔热性能满足现行国家标准《民用建筑热工设计规范》</w:t>
            </w:r>
            <w:r>
              <w:rPr>
                <w:rFonts w:hint="default"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50176</w:t>
            </w:r>
            <w:r>
              <w:rPr>
                <w:rFonts w:hint="eastAsia" w:ascii="宋体" w:hAnsi="宋体" w:eastAsia="宋体" w:cs="宋体"/>
                <w:color w:val="000000"/>
                <w:kern w:val="0"/>
                <w:sz w:val="21"/>
                <w:szCs w:val="21"/>
                <w:lang w:val="en-US" w:eastAsia="zh-CN" w:bidi="ar"/>
              </w:rPr>
              <w:t>、《湖南省居住建筑节能设计标准》</w:t>
            </w:r>
            <w:r>
              <w:rPr>
                <w:rFonts w:hint="default" w:ascii="宋体" w:hAnsi="宋体" w:eastAsia="宋体" w:cs="宋体"/>
                <w:color w:val="000000"/>
                <w:kern w:val="0"/>
                <w:sz w:val="21"/>
                <w:szCs w:val="21"/>
                <w:lang w:val="en-US" w:eastAsia="zh-CN" w:bidi="ar"/>
              </w:rPr>
              <w:t>DBJ43/001</w:t>
            </w:r>
            <w:r>
              <w:rPr>
                <w:rFonts w:hint="eastAsia" w:ascii="宋体" w:hAnsi="宋体" w:eastAsia="宋体" w:cs="宋体"/>
                <w:color w:val="000000"/>
                <w:kern w:val="0"/>
                <w:sz w:val="21"/>
                <w:szCs w:val="21"/>
                <w:lang w:val="en-US" w:eastAsia="zh-CN" w:bidi="ar"/>
              </w:rPr>
              <w:t xml:space="preserve">：（□是 </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2、建筑围护结构构造详图；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3、建筑围护结构防 结露验算报告；</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4、建筑围护结内部 冷凝验算报告；</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5、建筑围护结隔热 性能验算报告。</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2.13</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2.13</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结合场地自然条件和建筑功能需求，对建筑的体形、平面布局、朝向、围护结构热工性能、窗墙比等进行优化设计，且符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合国家和湖南省现行有关节能设计的要求：（□是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1、总平面图；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3、建筑设计图；</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4、节能计算报告书。</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2.14</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2.14</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禁止采用国家和地方禁止和限制使用的建筑材料及制品：（□是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2、建筑设计文件</w:t>
            </w:r>
            <w:r>
              <w:rPr>
                <w:rFonts w:hint="default" w:ascii="Times New Roman" w:hAnsi="Times New Roman" w:cs="Times New Roman"/>
                <w:color w:val="000000"/>
                <w:kern w:val="0"/>
                <w:sz w:val="21"/>
                <w:szCs w:val="21"/>
                <w:lang w:val="en-US" w:eastAsia="zh-CN" w:bidi="ar"/>
              </w:rPr>
              <w:t>。</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2.15</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2.15</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500km</w:t>
            </w:r>
            <w:r>
              <w:rPr>
                <w:rFonts w:hint="eastAsia" w:ascii="宋体" w:hAnsi="宋体" w:eastAsia="宋体" w:cs="宋体"/>
                <w:color w:val="000000"/>
                <w:kern w:val="0"/>
                <w:sz w:val="21"/>
                <w:szCs w:val="21"/>
                <w:lang w:val="en-US" w:eastAsia="zh-CN" w:bidi="ar"/>
              </w:rPr>
              <w:t>以内生产的建筑材料重量占建筑材料总重量的比例大于</w:t>
            </w:r>
            <w:r>
              <w:rPr>
                <w:rFonts w:hint="default" w:ascii="宋体" w:hAnsi="宋体" w:eastAsia="宋体" w:cs="宋体"/>
                <w:color w:val="000000"/>
                <w:kern w:val="0"/>
                <w:sz w:val="21"/>
                <w:szCs w:val="21"/>
                <w:lang w:val="en-US" w:eastAsia="zh-CN" w:bidi="ar"/>
              </w:rPr>
              <w:t>60%</w:t>
            </w:r>
            <w:r>
              <w:rPr>
                <w:rFonts w:hint="eastAsia" w:ascii="宋体" w:hAnsi="宋体" w:eastAsia="宋体" w:cs="宋体"/>
                <w:color w:val="000000"/>
                <w:kern w:val="0"/>
                <w:sz w:val="21"/>
                <w:szCs w:val="21"/>
                <w:lang w:val="en-US" w:eastAsia="zh-CN" w:bidi="ar"/>
              </w:rPr>
              <w:t>：（□是 □否）；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）现浇混凝土</w:t>
            </w:r>
            <w:r>
              <w:rPr>
                <w:rFonts w:hint="default" w:ascii="宋体" w:hAnsi="宋体" w:eastAsia="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 xml:space="preserve">采用预拌混凝土，建筑砂浆 </w:t>
            </w:r>
            <w:r>
              <w:rPr>
                <w:rFonts w:hint="default" w:ascii="宋体" w:hAnsi="宋体" w:eastAsia="宋体" w:cs="宋体"/>
                <w:color w:val="000000"/>
                <w:kern w:val="0"/>
                <w:sz w:val="21"/>
                <w:szCs w:val="21"/>
                <w:lang w:val="en-US" w:eastAsia="zh-CN" w:bidi="ar"/>
              </w:rPr>
              <w:t>100%</w:t>
            </w:r>
            <w:r>
              <w:rPr>
                <w:rFonts w:hint="eastAsia" w:ascii="宋体" w:hAnsi="宋体" w:eastAsia="宋体" w:cs="宋体"/>
                <w:color w:val="000000"/>
                <w:kern w:val="0"/>
                <w:sz w:val="21"/>
                <w:szCs w:val="21"/>
                <w:lang w:val="en-US" w:eastAsia="zh-CN" w:bidi="ar"/>
              </w:rPr>
              <w:t>采用预拌砂浆：（□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2、项目所在地无预拌混凝土或砂浆采购来源者的相关说明。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2.16</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应具有安全防护的警示和引导标识系统：（□是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建筑设计说明。</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2.17</w:t>
            </w:r>
          </w:p>
        </w:tc>
        <w:tc>
          <w:tcPr>
            <w:tcW w:w="43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rPr>
            </w:pPr>
            <w:r>
              <w:rPr>
                <w:rFonts w:hint="eastAsia"/>
              </w:rPr>
              <w:t>4.</w:t>
            </w:r>
            <w:r>
              <w:rPr>
                <w:rFonts w:hint="eastAsia"/>
                <w:lang w:val="en-US" w:eastAsia="zh-CN"/>
              </w:rPr>
              <w:t>2.17</w:t>
            </w:r>
          </w:p>
        </w:tc>
        <w:tc>
          <w:tcPr>
            <w:tcW w:w="1191"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建筑内外均设置便于识别和使用的标识系统：（□是 □否）</w:t>
            </w:r>
          </w:p>
        </w:tc>
        <w:tc>
          <w:tcPr>
            <w:tcW w:w="862"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p>
        </w:tc>
        <w:tc>
          <w:tcPr>
            <w:tcW w:w="92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1、建筑设计说明；</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2、总平面图。</w:t>
            </w:r>
          </w:p>
        </w:tc>
        <w:tc>
          <w:tcPr>
            <w:tcW w:w="582" w:type="pct"/>
            <w:vAlign w:val="center"/>
          </w:tcPr>
          <w:p>
            <w:pPr>
              <w:spacing w:line="360" w:lineRule="auto"/>
              <w:jc w:val="center"/>
              <w:rPr>
                <w:rFonts w:hint="eastAsia"/>
              </w:rPr>
            </w:pPr>
            <w:r>
              <w:rPr>
                <w:rFonts w:hint="eastAsia"/>
                <w:lang w:eastAsia="zh-CN"/>
              </w:rPr>
              <w:t>☑</w:t>
            </w:r>
            <w:r>
              <w:rPr>
                <w:rFonts w:hint="eastAsia"/>
              </w:rPr>
              <w:t>是</w:t>
            </w:r>
          </w:p>
          <w:p>
            <w:pPr>
              <w:spacing w:line="360" w:lineRule="auto"/>
              <w:jc w:val="center"/>
              <w:rPr>
                <w:rFonts w:hint="eastAsia"/>
              </w:rPr>
            </w:pPr>
            <w:r>
              <w:rPr>
                <w:rFonts w:hint="eastAsia"/>
              </w:rPr>
              <w:t>□否</w:t>
            </w:r>
          </w:p>
        </w:tc>
        <w:tc>
          <w:tcPr>
            <w:tcW w:w="568" w:type="pct"/>
            <w:vAlign w:val="center"/>
          </w:tcPr>
          <w:p>
            <w:pPr>
              <w:spacing w:line="360" w:lineRule="auto"/>
              <w:jc w:val="center"/>
              <w:rPr>
                <w:rFonts w:hint="eastAsia"/>
              </w:rPr>
            </w:pPr>
            <w:r>
              <w:rPr>
                <w:rFonts w:hint="eastAsia"/>
              </w:rPr>
              <w:t>□是</w:t>
            </w:r>
          </w:p>
          <w:p>
            <w:pPr>
              <w:spacing w:line="360" w:lineRule="auto"/>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spacing w:line="360" w:lineRule="auto"/>
              <w:jc w:val="center"/>
              <w:rPr>
                <w:rFonts w:hint="eastAsia"/>
              </w:rPr>
            </w:pPr>
            <w:r>
              <w:rPr>
                <w:rFonts w:hint="eastAsia"/>
                <w:lang w:val="en-US" w:eastAsia="zh-CN"/>
              </w:rPr>
              <w:t>自评</w:t>
            </w:r>
            <w:r>
              <w:rPr>
                <w:rFonts w:hint="eastAsia"/>
              </w:rPr>
              <w:t>意见</w:t>
            </w:r>
          </w:p>
        </w:tc>
        <w:tc>
          <w:tcPr>
            <w:tcW w:w="3949" w:type="pct"/>
            <w:gridSpan w:val="7"/>
          </w:tcPr>
          <w:p>
            <w:pPr>
              <w:spacing w:line="360" w:lineRule="auto"/>
              <w:ind w:right="420"/>
              <w:rPr>
                <w:rFonts w:hint="eastAsia"/>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r>
              <w:rPr>
                <w:rFonts w:hint="eastAsia"/>
                <w:lang w:val="en-US" w:eastAsia="zh-CN"/>
              </w:rPr>
              <w:t>专业负责人</w:t>
            </w:r>
            <w:r>
              <w:rPr>
                <w:rFonts w:hint="eastAsia"/>
              </w:rPr>
              <w:t>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rPr>
            </w:pPr>
            <w:r>
              <w:rPr>
                <w:rFonts w:hint="eastAsia"/>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eastAsia="宋体"/>
                <w:lang w:eastAsia="zh-CN"/>
              </w:rPr>
            </w:pPr>
            <w:r>
              <w:rPr>
                <w:rFonts w:hint="eastAsia"/>
                <w:lang w:eastAsia="zh-CN"/>
              </w:rPr>
              <w:t>（</w:t>
            </w:r>
            <w:r>
              <w:rPr>
                <w:rFonts w:hint="eastAsia"/>
                <w:lang w:val="en-US" w:eastAsia="zh-CN"/>
              </w:rPr>
              <w:t>单位盖章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 w:type="pct"/>
            <w:gridSpan w:val="3"/>
            <w:vAlign w:val="center"/>
          </w:tcPr>
          <w:p>
            <w:pPr>
              <w:spacing w:line="360" w:lineRule="auto"/>
              <w:jc w:val="center"/>
            </w:pPr>
            <w:r>
              <w:rPr>
                <w:rFonts w:hint="eastAsia"/>
              </w:rPr>
              <w:t>建筑专业</w:t>
            </w:r>
          </w:p>
          <w:p>
            <w:pPr>
              <w:spacing w:line="360" w:lineRule="auto"/>
              <w:jc w:val="center"/>
            </w:pPr>
            <w:r>
              <w:rPr>
                <w:rFonts w:hint="eastAsia"/>
              </w:rPr>
              <w:t>审查意见</w:t>
            </w:r>
          </w:p>
        </w:tc>
        <w:tc>
          <w:tcPr>
            <w:tcW w:w="3949" w:type="pct"/>
            <w:gridSpan w:val="7"/>
          </w:tcPr>
          <w:p>
            <w:pPr>
              <w:spacing w:line="360" w:lineRule="auto"/>
            </w:pPr>
          </w:p>
          <w:p>
            <w:pPr>
              <w:spacing w:line="360" w:lineRule="auto"/>
              <w:ind w:right="735"/>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lang w:val="en-US" w:eastAsia="zh-CN"/>
              </w:rPr>
            </w:pPr>
            <w:r>
              <w:rPr>
                <w:rFonts w:hint="eastAsia"/>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r>
              <w:rPr>
                <w:rFonts w:hint="eastAsia"/>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spacing w:line="360" w:lineRule="auto"/>
            </w:pPr>
            <w:r>
              <w:rPr>
                <w:rFonts w:hint="eastAsia"/>
              </w:rPr>
              <w:t>备注：</w:t>
            </w:r>
          </w:p>
          <w:p>
            <w:pPr>
              <w:spacing w:line="360" w:lineRule="auto"/>
            </w:pPr>
            <w:r>
              <w:rPr>
                <w:rFonts w:hint="eastAsia"/>
              </w:rPr>
              <w:t>1、本表适用于湖南省新建公共建筑的绿色建筑施工图设计（建筑专业）审查管理；</w:t>
            </w:r>
          </w:p>
          <w:p>
            <w:pPr>
              <w:spacing w:line="360" w:lineRule="auto"/>
            </w:pPr>
            <w:r>
              <w:rPr>
                <w:rFonts w:hint="eastAsia"/>
              </w:rPr>
              <w:t>2、设计单位应填写“项目基本信息”和“项目实际情况”；</w:t>
            </w:r>
          </w:p>
          <w:p>
            <w:pPr>
              <w:spacing w:line="360" w:lineRule="auto"/>
            </w:pPr>
            <w:r>
              <w:rPr>
                <w:rFonts w:hint="eastAsia"/>
              </w:rPr>
              <w:t>3、表中“设计要点”指《湖南省绿色建筑工程设计要点》（公共建筑），“审查要点”指《湖南省绿色建筑工程技术审查要点》（公共建筑）；</w:t>
            </w:r>
          </w:p>
          <w:p>
            <w:pPr>
              <w:spacing w:line="360" w:lineRule="auto"/>
            </w:pPr>
            <w:r>
              <w:rPr>
                <w:rFonts w:hint="eastAsia"/>
              </w:rPr>
              <w:t>4、设计单位在申报时应提交</w:t>
            </w:r>
            <w:bookmarkStart w:id="0" w:name="_GoBack"/>
            <w:bookmarkEnd w:id="0"/>
            <w:r>
              <w:rPr>
                <w:rFonts w:hint="eastAsia"/>
              </w:rPr>
              <w:t>相关设计文件、及满足相关条文要求的证明材料等。</w:t>
            </w:r>
          </w:p>
        </w:tc>
      </w:tr>
    </w:tbl>
    <w:p>
      <w:pPr>
        <w:spacing w:line="360" w:lineRule="auto"/>
      </w:pPr>
    </w:p>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60B9C"/>
    <w:multiLevelType w:val="singleLevel"/>
    <w:tmpl w:val="E3D60B9C"/>
    <w:lvl w:ilvl="0" w:tentative="0">
      <w:start w:val="1"/>
      <w:numFmt w:val="decimal"/>
      <w:suff w:val="nothing"/>
      <w:lvlText w:val="（%1）"/>
      <w:lvlJc w:val="left"/>
    </w:lvl>
  </w:abstractNum>
  <w:abstractNum w:abstractNumId="1">
    <w:nsid w:val="4A7B1E41"/>
    <w:multiLevelType w:val="singleLevel"/>
    <w:tmpl w:val="4A7B1E41"/>
    <w:lvl w:ilvl="0" w:tentative="0">
      <w:start w:val="1"/>
      <w:numFmt w:val="decimal"/>
      <w:suff w:val="nothing"/>
      <w:lvlText w:val="%1、"/>
      <w:lvlJc w:val="left"/>
    </w:lvl>
  </w:abstractNum>
  <w:abstractNum w:abstractNumId="2">
    <w:nsid w:val="6EFF97B7"/>
    <w:multiLevelType w:val="singleLevel"/>
    <w:tmpl w:val="6EFF97B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5D083342"/>
    <w:rsid w:val="000F4E18"/>
    <w:rsid w:val="0020352E"/>
    <w:rsid w:val="00266095"/>
    <w:rsid w:val="003C77DE"/>
    <w:rsid w:val="00627E6B"/>
    <w:rsid w:val="00775EEE"/>
    <w:rsid w:val="009D775C"/>
    <w:rsid w:val="00D22BC3"/>
    <w:rsid w:val="00EB1566"/>
    <w:rsid w:val="010827C0"/>
    <w:rsid w:val="014557C2"/>
    <w:rsid w:val="017C01EF"/>
    <w:rsid w:val="01C57AA0"/>
    <w:rsid w:val="01CE7107"/>
    <w:rsid w:val="01D440D6"/>
    <w:rsid w:val="01E44DB7"/>
    <w:rsid w:val="02284AAB"/>
    <w:rsid w:val="02380E83"/>
    <w:rsid w:val="02813DB3"/>
    <w:rsid w:val="02DC5397"/>
    <w:rsid w:val="03324A94"/>
    <w:rsid w:val="033923C2"/>
    <w:rsid w:val="03434BE2"/>
    <w:rsid w:val="037E6D6A"/>
    <w:rsid w:val="038A1BB2"/>
    <w:rsid w:val="042D6D19"/>
    <w:rsid w:val="04390FE5"/>
    <w:rsid w:val="04612015"/>
    <w:rsid w:val="04D550AF"/>
    <w:rsid w:val="04DE70CF"/>
    <w:rsid w:val="04E470A0"/>
    <w:rsid w:val="05C0443C"/>
    <w:rsid w:val="06117DAA"/>
    <w:rsid w:val="06597DC0"/>
    <w:rsid w:val="0676641E"/>
    <w:rsid w:val="067B57E2"/>
    <w:rsid w:val="069D7E4F"/>
    <w:rsid w:val="071F2612"/>
    <w:rsid w:val="074718E4"/>
    <w:rsid w:val="075076F6"/>
    <w:rsid w:val="0777593E"/>
    <w:rsid w:val="07E775D3"/>
    <w:rsid w:val="08024A55"/>
    <w:rsid w:val="0825112D"/>
    <w:rsid w:val="082F37C6"/>
    <w:rsid w:val="089F5FD3"/>
    <w:rsid w:val="08BD20E2"/>
    <w:rsid w:val="08D4742C"/>
    <w:rsid w:val="08F655F4"/>
    <w:rsid w:val="09273C58"/>
    <w:rsid w:val="0A230193"/>
    <w:rsid w:val="0A30771D"/>
    <w:rsid w:val="0A7E16DF"/>
    <w:rsid w:val="0A8735C8"/>
    <w:rsid w:val="0A920156"/>
    <w:rsid w:val="0AE55920"/>
    <w:rsid w:val="0B702726"/>
    <w:rsid w:val="0B780C92"/>
    <w:rsid w:val="0B8B69D2"/>
    <w:rsid w:val="0BFC1173"/>
    <w:rsid w:val="0C0F4A3C"/>
    <w:rsid w:val="0C355E56"/>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8C6FEE"/>
    <w:rsid w:val="12992091"/>
    <w:rsid w:val="12B35001"/>
    <w:rsid w:val="12D9220E"/>
    <w:rsid w:val="13143968"/>
    <w:rsid w:val="13802FB1"/>
    <w:rsid w:val="13824654"/>
    <w:rsid w:val="13A45249"/>
    <w:rsid w:val="13B5339B"/>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D451C7"/>
    <w:rsid w:val="16F301AF"/>
    <w:rsid w:val="17BA3D65"/>
    <w:rsid w:val="17ED3052"/>
    <w:rsid w:val="182C4B8E"/>
    <w:rsid w:val="183E2230"/>
    <w:rsid w:val="183F06CD"/>
    <w:rsid w:val="18616B87"/>
    <w:rsid w:val="186438D2"/>
    <w:rsid w:val="189D00F7"/>
    <w:rsid w:val="18B90B18"/>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711CD8"/>
    <w:rsid w:val="20C462AC"/>
    <w:rsid w:val="20D861B6"/>
    <w:rsid w:val="20FB4D6B"/>
    <w:rsid w:val="21456F41"/>
    <w:rsid w:val="21E8421C"/>
    <w:rsid w:val="21FC7B73"/>
    <w:rsid w:val="21FE4B4F"/>
    <w:rsid w:val="221E379A"/>
    <w:rsid w:val="22564CE2"/>
    <w:rsid w:val="22765384"/>
    <w:rsid w:val="227D2F24"/>
    <w:rsid w:val="22C00CF5"/>
    <w:rsid w:val="22D45B8C"/>
    <w:rsid w:val="22FF35CB"/>
    <w:rsid w:val="231C07E1"/>
    <w:rsid w:val="233D1255"/>
    <w:rsid w:val="23453F81"/>
    <w:rsid w:val="23A1575F"/>
    <w:rsid w:val="23DC1B5F"/>
    <w:rsid w:val="241A7031"/>
    <w:rsid w:val="243D55FD"/>
    <w:rsid w:val="2446347C"/>
    <w:rsid w:val="24565C26"/>
    <w:rsid w:val="245B095C"/>
    <w:rsid w:val="254C4AC2"/>
    <w:rsid w:val="255D5F72"/>
    <w:rsid w:val="256040C9"/>
    <w:rsid w:val="257560F7"/>
    <w:rsid w:val="25796F45"/>
    <w:rsid w:val="25B52667"/>
    <w:rsid w:val="25F04FE4"/>
    <w:rsid w:val="261750D0"/>
    <w:rsid w:val="26263565"/>
    <w:rsid w:val="262B2929"/>
    <w:rsid w:val="2674607E"/>
    <w:rsid w:val="26760048"/>
    <w:rsid w:val="26DB434F"/>
    <w:rsid w:val="272C12F0"/>
    <w:rsid w:val="274A4BF7"/>
    <w:rsid w:val="277D20C6"/>
    <w:rsid w:val="27B64E04"/>
    <w:rsid w:val="27C93301"/>
    <w:rsid w:val="27DB7389"/>
    <w:rsid w:val="27F8683B"/>
    <w:rsid w:val="28632F0B"/>
    <w:rsid w:val="287C7FC5"/>
    <w:rsid w:val="2894174F"/>
    <w:rsid w:val="28A1574A"/>
    <w:rsid w:val="28C606E7"/>
    <w:rsid w:val="294825C9"/>
    <w:rsid w:val="295779CB"/>
    <w:rsid w:val="29817070"/>
    <w:rsid w:val="298B2CED"/>
    <w:rsid w:val="298D7C07"/>
    <w:rsid w:val="29C015DB"/>
    <w:rsid w:val="2A6506AE"/>
    <w:rsid w:val="2A8D5961"/>
    <w:rsid w:val="2A9467DC"/>
    <w:rsid w:val="2AAA3707"/>
    <w:rsid w:val="2AD72C24"/>
    <w:rsid w:val="2ADD7C9C"/>
    <w:rsid w:val="2ADE2857"/>
    <w:rsid w:val="2AEA4F5C"/>
    <w:rsid w:val="2AF75919"/>
    <w:rsid w:val="2B2B4E67"/>
    <w:rsid w:val="2B406E77"/>
    <w:rsid w:val="2B4E7061"/>
    <w:rsid w:val="2BDD7857"/>
    <w:rsid w:val="2C2E3173"/>
    <w:rsid w:val="2C5266CE"/>
    <w:rsid w:val="2CB1120C"/>
    <w:rsid w:val="2D2D6C76"/>
    <w:rsid w:val="2D352A1C"/>
    <w:rsid w:val="2D35408E"/>
    <w:rsid w:val="2D794372"/>
    <w:rsid w:val="2DD82625"/>
    <w:rsid w:val="2DE239BE"/>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B0D06"/>
    <w:rsid w:val="32A63A63"/>
    <w:rsid w:val="32F84EAB"/>
    <w:rsid w:val="33024A12"/>
    <w:rsid w:val="33134E71"/>
    <w:rsid w:val="331F3816"/>
    <w:rsid w:val="33705C39"/>
    <w:rsid w:val="34476B80"/>
    <w:rsid w:val="34DD5737"/>
    <w:rsid w:val="35983B79"/>
    <w:rsid w:val="35BE3F6C"/>
    <w:rsid w:val="369824BB"/>
    <w:rsid w:val="371B2546"/>
    <w:rsid w:val="374750E9"/>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480BD6"/>
    <w:rsid w:val="3A7709FD"/>
    <w:rsid w:val="3ACC4283"/>
    <w:rsid w:val="3AE570F3"/>
    <w:rsid w:val="3B0A4DAB"/>
    <w:rsid w:val="3B9543AA"/>
    <w:rsid w:val="3C20368A"/>
    <w:rsid w:val="3C523309"/>
    <w:rsid w:val="3C5D7DDB"/>
    <w:rsid w:val="3C6109FB"/>
    <w:rsid w:val="3CAA05F4"/>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CC432F"/>
    <w:rsid w:val="3FD15E98"/>
    <w:rsid w:val="3FD24053"/>
    <w:rsid w:val="40084864"/>
    <w:rsid w:val="4021297B"/>
    <w:rsid w:val="4070746C"/>
    <w:rsid w:val="408C4B10"/>
    <w:rsid w:val="40B82BB4"/>
    <w:rsid w:val="40C87FCC"/>
    <w:rsid w:val="40CF3089"/>
    <w:rsid w:val="40E63BC5"/>
    <w:rsid w:val="40E652C2"/>
    <w:rsid w:val="411174A5"/>
    <w:rsid w:val="417B430D"/>
    <w:rsid w:val="41970A1B"/>
    <w:rsid w:val="41D26C00"/>
    <w:rsid w:val="41D751A7"/>
    <w:rsid w:val="428238DE"/>
    <w:rsid w:val="42892A5A"/>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60C6A48"/>
    <w:rsid w:val="4614729F"/>
    <w:rsid w:val="46713F31"/>
    <w:rsid w:val="467A1037"/>
    <w:rsid w:val="469320F9"/>
    <w:rsid w:val="46F23ED6"/>
    <w:rsid w:val="47264D1B"/>
    <w:rsid w:val="47954183"/>
    <w:rsid w:val="482464BF"/>
    <w:rsid w:val="484B3C10"/>
    <w:rsid w:val="48C77E38"/>
    <w:rsid w:val="49211C3E"/>
    <w:rsid w:val="492B486B"/>
    <w:rsid w:val="496E23B4"/>
    <w:rsid w:val="4972249A"/>
    <w:rsid w:val="49A97FAF"/>
    <w:rsid w:val="49DA3B9B"/>
    <w:rsid w:val="4A0B7C90"/>
    <w:rsid w:val="4A201984"/>
    <w:rsid w:val="4A34774F"/>
    <w:rsid w:val="4B1F3C91"/>
    <w:rsid w:val="4B441C14"/>
    <w:rsid w:val="4B4C2E1B"/>
    <w:rsid w:val="4B5C6279"/>
    <w:rsid w:val="4BC7611E"/>
    <w:rsid w:val="4BD05255"/>
    <w:rsid w:val="4BD50695"/>
    <w:rsid w:val="4BFD215A"/>
    <w:rsid w:val="4C316F53"/>
    <w:rsid w:val="4C341E58"/>
    <w:rsid w:val="4CA87F80"/>
    <w:rsid w:val="4D8511DF"/>
    <w:rsid w:val="4DDE26C9"/>
    <w:rsid w:val="4DFF1CD9"/>
    <w:rsid w:val="4E1436A0"/>
    <w:rsid w:val="4E3D1DCD"/>
    <w:rsid w:val="4E513437"/>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9D0805"/>
    <w:rsid w:val="52CF7E31"/>
    <w:rsid w:val="52E3268C"/>
    <w:rsid w:val="53492960"/>
    <w:rsid w:val="535B7AFB"/>
    <w:rsid w:val="536270DB"/>
    <w:rsid w:val="536A2433"/>
    <w:rsid w:val="53B70462"/>
    <w:rsid w:val="53C002A3"/>
    <w:rsid w:val="53CD25DD"/>
    <w:rsid w:val="53F968BE"/>
    <w:rsid w:val="54293AEA"/>
    <w:rsid w:val="542F24C8"/>
    <w:rsid w:val="544D7D8B"/>
    <w:rsid w:val="546754CF"/>
    <w:rsid w:val="54786545"/>
    <w:rsid w:val="54834561"/>
    <w:rsid w:val="5486329D"/>
    <w:rsid w:val="54BA0D0B"/>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8346B6C"/>
    <w:rsid w:val="58B1264C"/>
    <w:rsid w:val="58DF2F7C"/>
    <w:rsid w:val="58F43978"/>
    <w:rsid w:val="590D5B51"/>
    <w:rsid w:val="59591F64"/>
    <w:rsid w:val="596D0588"/>
    <w:rsid w:val="597638E0"/>
    <w:rsid w:val="5988716F"/>
    <w:rsid w:val="59D5113D"/>
    <w:rsid w:val="5A014088"/>
    <w:rsid w:val="5A3A490E"/>
    <w:rsid w:val="5ADC7773"/>
    <w:rsid w:val="5B006C7E"/>
    <w:rsid w:val="5B0942E0"/>
    <w:rsid w:val="5B136FD2"/>
    <w:rsid w:val="5B48305A"/>
    <w:rsid w:val="5B8B3DE5"/>
    <w:rsid w:val="5BED775E"/>
    <w:rsid w:val="5C0276AD"/>
    <w:rsid w:val="5C1B42CB"/>
    <w:rsid w:val="5C4213C6"/>
    <w:rsid w:val="5C583580"/>
    <w:rsid w:val="5C5D13CA"/>
    <w:rsid w:val="5C7560D1"/>
    <w:rsid w:val="5D083342"/>
    <w:rsid w:val="5D147940"/>
    <w:rsid w:val="5D1D21F3"/>
    <w:rsid w:val="5D260DD6"/>
    <w:rsid w:val="5D47641F"/>
    <w:rsid w:val="5D6972B8"/>
    <w:rsid w:val="5D9B4CA2"/>
    <w:rsid w:val="5DB26641"/>
    <w:rsid w:val="5DC1259B"/>
    <w:rsid w:val="5E081DE1"/>
    <w:rsid w:val="5E1627FF"/>
    <w:rsid w:val="5E6D1055"/>
    <w:rsid w:val="5EAC3900"/>
    <w:rsid w:val="5EC155FD"/>
    <w:rsid w:val="5EC3057D"/>
    <w:rsid w:val="5ED400C9"/>
    <w:rsid w:val="5EF57055"/>
    <w:rsid w:val="5F0E0404"/>
    <w:rsid w:val="5F1617C3"/>
    <w:rsid w:val="5F4C1464"/>
    <w:rsid w:val="5F7F2DC3"/>
    <w:rsid w:val="5FBF6040"/>
    <w:rsid w:val="600E5D0C"/>
    <w:rsid w:val="60162A55"/>
    <w:rsid w:val="60475FCF"/>
    <w:rsid w:val="605417AA"/>
    <w:rsid w:val="60994356"/>
    <w:rsid w:val="60F73F1E"/>
    <w:rsid w:val="61023EF3"/>
    <w:rsid w:val="61477910"/>
    <w:rsid w:val="614E65AA"/>
    <w:rsid w:val="61CD2A5F"/>
    <w:rsid w:val="623D1429"/>
    <w:rsid w:val="624076BD"/>
    <w:rsid w:val="62801144"/>
    <w:rsid w:val="62A0377C"/>
    <w:rsid w:val="62C63B70"/>
    <w:rsid w:val="62D07A73"/>
    <w:rsid w:val="62D46248"/>
    <w:rsid w:val="632C4A80"/>
    <w:rsid w:val="63400ABB"/>
    <w:rsid w:val="63402869"/>
    <w:rsid w:val="6347009B"/>
    <w:rsid w:val="63B33556"/>
    <w:rsid w:val="63BD12D5"/>
    <w:rsid w:val="64877495"/>
    <w:rsid w:val="64DE058B"/>
    <w:rsid w:val="64DE67DD"/>
    <w:rsid w:val="64FB113D"/>
    <w:rsid w:val="65205306"/>
    <w:rsid w:val="653E102A"/>
    <w:rsid w:val="65686B8D"/>
    <w:rsid w:val="65956E9C"/>
    <w:rsid w:val="65C73C06"/>
    <w:rsid w:val="66324CFB"/>
    <w:rsid w:val="6665728B"/>
    <w:rsid w:val="66920437"/>
    <w:rsid w:val="66D30BD2"/>
    <w:rsid w:val="66DE2AC5"/>
    <w:rsid w:val="670F0ED0"/>
    <w:rsid w:val="675112D8"/>
    <w:rsid w:val="67B53929"/>
    <w:rsid w:val="67F82A4C"/>
    <w:rsid w:val="683C3F47"/>
    <w:rsid w:val="689202E8"/>
    <w:rsid w:val="68A45648"/>
    <w:rsid w:val="69025FFC"/>
    <w:rsid w:val="69051803"/>
    <w:rsid w:val="699D4C0F"/>
    <w:rsid w:val="69C53AC8"/>
    <w:rsid w:val="6A1A26E5"/>
    <w:rsid w:val="6A955389"/>
    <w:rsid w:val="6AA3205B"/>
    <w:rsid w:val="6AD3401C"/>
    <w:rsid w:val="6AFB3C45"/>
    <w:rsid w:val="6B2A0087"/>
    <w:rsid w:val="6B87372B"/>
    <w:rsid w:val="6BCD7E96"/>
    <w:rsid w:val="6C327B3B"/>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320420"/>
    <w:rsid w:val="73434AD7"/>
    <w:rsid w:val="73AD7BEE"/>
    <w:rsid w:val="73D03795"/>
    <w:rsid w:val="742412B5"/>
    <w:rsid w:val="7458306E"/>
    <w:rsid w:val="74983AB1"/>
    <w:rsid w:val="74E74DA3"/>
    <w:rsid w:val="74FB0EAD"/>
    <w:rsid w:val="75041948"/>
    <w:rsid w:val="755C47CE"/>
    <w:rsid w:val="75680129"/>
    <w:rsid w:val="76087CC4"/>
    <w:rsid w:val="762C55FB"/>
    <w:rsid w:val="76362417"/>
    <w:rsid w:val="76B7273F"/>
    <w:rsid w:val="76C973A4"/>
    <w:rsid w:val="76CD2F36"/>
    <w:rsid w:val="76E2215D"/>
    <w:rsid w:val="770519A8"/>
    <w:rsid w:val="781E71C5"/>
    <w:rsid w:val="782567A5"/>
    <w:rsid w:val="78671191"/>
    <w:rsid w:val="786D0C51"/>
    <w:rsid w:val="78901BC5"/>
    <w:rsid w:val="78A67D5D"/>
    <w:rsid w:val="78EC706E"/>
    <w:rsid w:val="7940316B"/>
    <w:rsid w:val="7A392094"/>
    <w:rsid w:val="7AAB13DE"/>
    <w:rsid w:val="7ACE3C7E"/>
    <w:rsid w:val="7AE73A45"/>
    <w:rsid w:val="7B022DCE"/>
    <w:rsid w:val="7B160475"/>
    <w:rsid w:val="7B226168"/>
    <w:rsid w:val="7B3A738E"/>
    <w:rsid w:val="7B593DE9"/>
    <w:rsid w:val="7B952E89"/>
    <w:rsid w:val="7BC57BEB"/>
    <w:rsid w:val="7C376AA7"/>
    <w:rsid w:val="7C7035CC"/>
    <w:rsid w:val="7C830367"/>
    <w:rsid w:val="7C920181"/>
    <w:rsid w:val="7CBB00D4"/>
    <w:rsid w:val="7CC869C9"/>
    <w:rsid w:val="7CD15839"/>
    <w:rsid w:val="7D3502CE"/>
    <w:rsid w:val="7D38498F"/>
    <w:rsid w:val="7D871368"/>
    <w:rsid w:val="7DD87E16"/>
    <w:rsid w:val="7DDB78C0"/>
    <w:rsid w:val="7E0F2B56"/>
    <w:rsid w:val="7E110B99"/>
    <w:rsid w:val="7E7164FB"/>
    <w:rsid w:val="7E7A2C7B"/>
    <w:rsid w:val="7E7C69F3"/>
    <w:rsid w:val="7E9F0934"/>
    <w:rsid w:val="7F2F4875"/>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Normal (Web)"/>
    <w:basedOn w:val="1"/>
    <w:qFormat/>
    <w:uiPriority w:val="0"/>
    <w:pPr>
      <w:spacing w:beforeAutospacing="1" w:afterAutospacing="1"/>
      <w:jc w:val="left"/>
    </w:pPr>
    <w:rPr>
      <w:kern w:val="0"/>
      <w:sz w:val="24"/>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3250</Words>
  <Characters>3519</Characters>
  <Lines>10</Lines>
  <Paragraphs>2</Paragraphs>
  <TotalTime>25</TotalTime>
  <ScaleCrop>false</ScaleCrop>
  <LinksUpToDate>false</LinksUpToDate>
  <CharactersWithSpaces>3726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2019-11-12T13:01:00Z</dcterms:created>
  <dc:creator>A</dc:creator>
  <cp:lastModifiedBy>孟子曰</cp:lastModifiedBy>
  <dcterms:modified xsi:type="dcterms:W3CDTF">2023-10-18T01:52:06Z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76E564D44317485FA69808ECE7B4BCAA</vt:lpwstr>
  </property>
</Properties>
</file>