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DC" w:rsidRPr="007B72E3" w:rsidRDefault="00F559DC" w:rsidP="00F559DC">
      <w:pPr>
        <w:rPr>
          <w:rFonts w:ascii="Times New Roman" w:hAnsi="Times New Roman" w:cs="AdobeSongStd-Light"/>
          <w:kern w:val="0"/>
          <w:sz w:val="44"/>
          <w:szCs w:val="44"/>
        </w:rPr>
      </w:pPr>
    </w:p>
    <w:p w:rsidR="00F559DC" w:rsidRPr="007B72E3" w:rsidRDefault="00F559DC" w:rsidP="00F559DC">
      <w:pPr>
        <w:rPr>
          <w:rFonts w:ascii="Times New Roman" w:hAnsi="Times New Roman" w:cs="AdobeSongStd-Light"/>
          <w:kern w:val="0"/>
          <w:sz w:val="44"/>
          <w:szCs w:val="44"/>
        </w:rPr>
      </w:pPr>
    </w:p>
    <w:p w:rsidR="00F559DC" w:rsidRPr="007B72E3" w:rsidRDefault="00F559DC" w:rsidP="00F559DC">
      <w:pPr>
        <w:rPr>
          <w:rFonts w:ascii="Times New Roman" w:hAnsi="Times New Roman" w:cs="AdobeSongStd-Light"/>
          <w:kern w:val="0"/>
          <w:sz w:val="44"/>
          <w:szCs w:val="44"/>
        </w:rPr>
      </w:pPr>
    </w:p>
    <w:p w:rsidR="00F559DC" w:rsidRPr="007B72E3" w:rsidRDefault="00F559DC" w:rsidP="00F559DC">
      <w:pPr>
        <w:rPr>
          <w:rFonts w:ascii="Times New Roman" w:hAnsi="Times New Roman" w:cs="AdobeSongStd-Light"/>
          <w:kern w:val="0"/>
          <w:sz w:val="44"/>
          <w:szCs w:val="44"/>
        </w:rPr>
      </w:pPr>
    </w:p>
    <w:p w:rsidR="00F559DC" w:rsidRPr="007B72E3" w:rsidRDefault="00F559DC" w:rsidP="00F559DC">
      <w:pPr>
        <w:rPr>
          <w:rFonts w:ascii="Times New Roman" w:hAnsi="Times New Roman" w:cs="AdobeSongStd-Light"/>
          <w:kern w:val="0"/>
          <w:sz w:val="44"/>
          <w:szCs w:val="44"/>
        </w:rPr>
      </w:pPr>
      <w:r w:rsidRPr="007B72E3">
        <w:rPr>
          <w:rFonts w:ascii="Times New Roman" w:hAnsi="Times New Roman" w:cs="AdobeSongStd-Light" w:hint="eastAsia"/>
          <w:kern w:val="0"/>
          <w:sz w:val="44"/>
          <w:szCs w:val="44"/>
        </w:rPr>
        <w:t>可再利用和可再循环材料用量比例计算书</w:t>
      </w:r>
    </w:p>
    <w:p w:rsidR="00F559DC" w:rsidRPr="007B72E3" w:rsidRDefault="00F559DC">
      <w:pPr>
        <w:widowControl/>
        <w:jc w:val="left"/>
        <w:rPr>
          <w:rFonts w:ascii="Times New Roman" w:hAnsi="Times New Roman" w:cs="AdobeSongStd-Light"/>
          <w:kern w:val="0"/>
          <w:sz w:val="44"/>
          <w:szCs w:val="44"/>
        </w:rPr>
      </w:pPr>
      <w:r w:rsidRPr="007B72E3">
        <w:rPr>
          <w:rFonts w:ascii="Times New Roman" w:hAnsi="Times New Roman" w:cs="AdobeSongStd-Light"/>
          <w:kern w:val="0"/>
          <w:sz w:val="44"/>
          <w:szCs w:val="44"/>
        </w:rPr>
        <w:br w:type="page"/>
      </w:r>
    </w:p>
    <w:p w:rsidR="00F559DC" w:rsidRPr="007B72E3" w:rsidRDefault="00F559DC" w:rsidP="00F559DC">
      <w:pPr>
        <w:pStyle w:val="2"/>
        <w:rPr>
          <w:rFonts w:ascii="Times New Roman" w:eastAsiaTheme="minorEastAsia" w:hAnsi="Times New Roman"/>
        </w:rPr>
      </w:pPr>
      <w:r w:rsidRPr="007B72E3">
        <w:rPr>
          <w:rFonts w:ascii="Times New Roman" w:eastAsiaTheme="minorEastAsia" w:hAnsi="Times New Roman" w:hint="eastAsia"/>
        </w:rPr>
        <w:lastRenderedPageBreak/>
        <w:t>一、设计要求</w:t>
      </w:r>
    </w:p>
    <w:p w:rsidR="00F559DC" w:rsidRPr="007B72E3" w:rsidRDefault="00F559DC" w:rsidP="00F559D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AdobeSongStd-Light"/>
          <w:kern w:val="0"/>
          <w:sz w:val="24"/>
          <w:szCs w:val="24"/>
        </w:rPr>
      </w:pPr>
      <w:r w:rsidRPr="007B72E3">
        <w:rPr>
          <w:rFonts w:ascii="Times New Roman" w:hAnsi="Times New Roman" w:cs="AdobeSongStd-Light" w:hint="eastAsia"/>
          <w:kern w:val="0"/>
          <w:sz w:val="24"/>
          <w:szCs w:val="24"/>
        </w:rPr>
        <w:t>建筑中采用的可再循环建筑材料和可再利用建筑材料，可以减少生产加工新材料带来的资源、能源消耗和环境污染，具有良好的经济、社会和环境效益。</w:t>
      </w:r>
    </w:p>
    <w:p w:rsidR="00F559DC" w:rsidRPr="007B72E3" w:rsidRDefault="00F559DC" w:rsidP="00F559D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AdobeSongStd-Light"/>
          <w:kern w:val="0"/>
          <w:sz w:val="24"/>
          <w:szCs w:val="24"/>
        </w:rPr>
      </w:pPr>
      <w:r w:rsidRPr="007B72E3">
        <w:rPr>
          <w:rFonts w:ascii="Times New Roman" w:hAnsi="Times New Roman" w:cs="AdobeSongStd-Light" w:hint="eastAsia"/>
          <w:kern w:val="0"/>
          <w:sz w:val="24"/>
          <w:szCs w:val="24"/>
        </w:rPr>
        <w:t>可再利用材料主要包括制品、部品或型材形式等旧建筑材料。</w:t>
      </w:r>
    </w:p>
    <w:p w:rsidR="00BD0A6C" w:rsidRPr="007B72E3" w:rsidRDefault="00F559DC" w:rsidP="00F559DC">
      <w:pPr>
        <w:spacing w:line="360" w:lineRule="auto"/>
        <w:ind w:firstLineChars="200" w:firstLine="480"/>
        <w:rPr>
          <w:rFonts w:ascii="Times New Roman" w:hAnsi="Times New Roman" w:cs="AdobeSongStd-Light"/>
          <w:kern w:val="0"/>
          <w:sz w:val="24"/>
          <w:szCs w:val="24"/>
        </w:rPr>
      </w:pPr>
      <w:r w:rsidRPr="007B72E3">
        <w:rPr>
          <w:rFonts w:ascii="Times New Roman" w:hAnsi="Times New Roman" w:cs="AdobeSongStd-Light" w:hint="eastAsia"/>
          <w:kern w:val="0"/>
          <w:sz w:val="24"/>
          <w:szCs w:val="24"/>
        </w:rPr>
        <w:t>可再循环材料主要包括金属材料（钢材、铜等）、玻璃、铝合金型材、石膏制品、木材。</w:t>
      </w:r>
    </w:p>
    <w:p w:rsidR="00F559DC" w:rsidRPr="007B72E3" w:rsidRDefault="00F559DC" w:rsidP="00F559DC">
      <w:pPr>
        <w:pStyle w:val="2"/>
        <w:rPr>
          <w:rFonts w:ascii="Times New Roman" w:eastAsiaTheme="minorEastAsia" w:hAnsi="Times New Roman"/>
        </w:rPr>
      </w:pPr>
      <w:r w:rsidRPr="007B72E3">
        <w:rPr>
          <w:rFonts w:ascii="Times New Roman" w:eastAsiaTheme="minorEastAsia" w:hAnsi="Times New Roman" w:hint="eastAsia"/>
        </w:rPr>
        <w:t>二、计算内容</w:t>
      </w:r>
    </w:p>
    <w:p w:rsidR="00F559DC" w:rsidRPr="007B72E3" w:rsidRDefault="00F559DC" w:rsidP="00F559D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AdobeSongStd-Light"/>
          <w:kern w:val="0"/>
          <w:sz w:val="24"/>
          <w:szCs w:val="24"/>
        </w:rPr>
      </w:pPr>
      <w:r w:rsidRPr="007B72E3">
        <w:rPr>
          <w:rFonts w:ascii="Times New Roman" w:hAnsi="Times New Roman" w:cs="AdobeSongStd-Light"/>
          <w:kern w:val="0"/>
          <w:sz w:val="24"/>
          <w:szCs w:val="24"/>
          <w:u w:val="single"/>
        </w:rPr>
        <w:t xml:space="preserve">  X  X  X  X  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</w:rPr>
        <w:t>项目</w:t>
      </w:r>
      <w:r w:rsidRPr="007B72E3">
        <w:rPr>
          <w:rFonts w:ascii="Times New Roman" w:hAnsi="Times New Roman" w:cs="AdobeSongStd-Light"/>
          <w:kern w:val="0"/>
          <w:sz w:val="24"/>
          <w:szCs w:val="24"/>
        </w:rPr>
        <w:t>,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</w:rPr>
        <w:t>属于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  <w:u w:val="single"/>
        </w:rPr>
        <w:t xml:space="preserve"> </w:t>
      </w:r>
      <w:r w:rsidRPr="007B72E3">
        <w:rPr>
          <w:rFonts w:ascii="Times New Roman" w:hAnsi="Times New Roman" w:cs="AdobeSongStd-Light"/>
          <w:kern w:val="0"/>
          <w:sz w:val="24"/>
          <w:szCs w:val="24"/>
          <w:u w:val="single"/>
        </w:rPr>
        <w:t xml:space="preserve">  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  <w:u w:val="single"/>
        </w:rPr>
        <w:t>居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  <w:u w:val="single"/>
        </w:rPr>
        <w:t xml:space="preserve"> 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  <w:u w:val="single"/>
        </w:rPr>
        <w:t>住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  <w:u w:val="single"/>
        </w:rPr>
        <w:t xml:space="preserve"> 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  <w:u w:val="single"/>
        </w:rPr>
        <w:t>建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  <w:u w:val="single"/>
        </w:rPr>
        <w:t xml:space="preserve"> 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  <w:u w:val="single"/>
        </w:rPr>
        <w:t>筑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  <w:u w:val="single"/>
        </w:rPr>
        <w:t xml:space="preserve"> 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</w:rPr>
        <w:t>。</w:t>
      </w:r>
    </w:p>
    <w:p w:rsidR="00F559DC" w:rsidRPr="007B72E3" w:rsidRDefault="00F559DC" w:rsidP="00F559D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AdobeSongStd-Light"/>
          <w:kern w:val="0"/>
          <w:sz w:val="24"/>
          <w:szCs w:val="24"/>
        </w:rPr>
      </w:pPr>
      <w:r w:rsidRPr="007B72E3">
        <w:rPr>
          <w:rFonts w:ascii="Times New Roman" w:hAnsi="Times New Roman" w:cs="AdobeSongStd-Light" w:hint="eastAsia"/>
          <w:kern w:val="0"/>
          <w:sz w:val="24"/>
          <w:szCs w:val="24"/>
        </w:rPr>
        <w:t>总建筑建材用量为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  <w:u w:val="single"/>
        </w:rPr>
        <w:t xml:space="preserve"> </w:t>
      </w:r>
      <w:r w:rsidRPr="007B72E3">
        <w:rPr>
          <w:rFonts w:ascii="Times New Roman" w:hAnsi="Times New Roman" w:cs="AdobeSongStd-Light"/>
          <w:kern w:val="0"/>
          <w:sz w:val="24"/>
          <w:szCs w:val="24"/>
          <w:u w:val="single"/>
        </w:rPr>
        <w:t xml:space="preserve">  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  <w:u w:val="single"/>
        </w:rPr>
        <w:t>26536.62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  <w:u w:val="single"/>
        </w:rPr>
        <w:t xml:space="preserve"> 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</w:rPr>
        <w:t>吨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</w:rPr>
        <w:t>。</w:t>
      </w:r>
    </w:p>
    <w:p w:rsidR="00F559DC" w:rsidRPr="007B72E3" w:rsidRDefault="00F559DC" w:rsidP="00F559DC">
      <w:pPr>
        <w:jc w:val="center"/>
        <w:rPr>
          <w:rFonts w:ascii="Times New Roman" w:hAnsi="Times New Roman" w:cs="AdobeSongStd-Light"/>
          <w:kern w:val="0"/>
          <w:szCs w:val="21"/>
        </w:rPr>
      </w:pPr>
      <w:r w:rsidRPr="007B72E3">
        <w:rPr>
          <w:rFonts w:ascii="Times New Roman" w:hAnsi="Times New Roman" w:cs="AdobeSongStd-Light" w:hint="eastAsia"/>
          <w:kern w:val="0"/>
          <w:szCs w:val="21"/>
        </w:rPr>
        <w:t>建筑材料重量明细表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62"/>
        <w:gridCol w:w="1808"/>
        <w:gridCol w:w="1185"/>
        <w:gridCol w:w="1185"/>
        <w:gridCol w:w="1185"/>
        <w:gridCol w:w="1185"/>
        <w:gridCol w:w="1186"/>
      </w:tblGrid>
      <w:tr w:rsidR="00B86707" w:rsidRPr="007B72E3" w:rsidTr="00F559DC">
        <w:trPr>
          <w:jc w:val="center"/>
        </w:trPr>
        <w:tc>
          <w:tcPr>
            <w:tcW w:w="2370" w:type="dxa"/>
            <w:gridSpan w:val="2"/>
            <w:vMerge w:val="restart"/>
            <w:vAlign w:val="center"/>
          </w:tcPr>
          <w:p w:rsidR="00F559DC" w:rsidRPr="007B72E3" w:rsidRDefault="00F559DC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建材种类</w:t>
            </w:r>
          </w:p>
        </w:tc>
        <w:tc>
          <w:tcPr>
            <w:tcW w:w="1185" w:type="dxa"/>
            <w:vAlign w:val="center"/>
          </w:tcPr>
          <w:p w:rsidR="00F559DC" w:rsidRPr="007B72E3" w:rsidRDefault="00F559DC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数量</w:t>
            </w:r>
          </w:p>
        </w:tc>
        <w:tc>
          <w:tcPr>
            <w:tcW w:w="1185" w:type="dxa"/>
            <w:vAlign w:val="center"/>
          </w:tcPr>
          <w:p w:rsidR="00F559DC" w:rsidRPr="007B72E3" w:rsidRDefault="00F559DC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密度</w:t>
            </w:r>
          </w:p>
        </w:tc>
        <w:tc>
          <w:tcPr>
            <w:tcW w:w="1185" w:type="dxa"/>
            <w:vMerge w:val="restart"/>
            <w:vAlign w:val="center"/>
          </w:tcPr>
          <w:p w:rsidR="00F559DC" w:rsidRPr="007B72E3" w:rsidRDefault="00F559DC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重量（</w:t>
            </w:r>
            <w:r w:rsidRPr="007B72E3">
              <w:rPr>
                <w:rFonts w:ascii="Times New Roman" w:hAnsi="Times New Roman" w:hint="eastAsia"/>
                <w:szCs w:val="21"/>
              </w:rPr>
              <w:t>t</w:t>
            </w:r>
            <w:r w:rsidRPr="007B72E3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1185" w:type="dxa"/>
            <w:vMerge w:val="restart"/>
            <w:vAlign w:val="center"/>
          </w:tcPr>
          <w:p w:rsidR="00F559DC" w:rsidRPr="007B72E3" w:rsidRDefault="00F559DC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小计（</w:t>
            </w:r>
            <w:r w:rsidRPr="007B72E3">
              <w:rPr>
                <w:rFonts w:ascii="Times New Roman" w:hAnsi="Times New Roman" w:hint="eastAsia"/>
                <w:szCs w:val="21"/>
              </w:rPr>
              <w:t>t</w:t>
            </w:r>
            <w:r w:rsidRPr="007B72E3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1186" w:type="dxa"/>
            <w:vMerge w:val="restart"/>
            <w:vAlign w:val="center"/>
          </w:tcPr>
          <w:p w:rsidR="00F559DC" w:rsidRPr="007B72E3" w:rsidRDefault="00F559DC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建材总重量（</w:t>
            </w:r>
            <w:r w:rsidRPr="007B72E3">
              <w:rPr>
                <w:rFonts w:ascii="Times New Roman" w:hAnsi="Times New Roman" w:hint="eastAsia"/>
                <w:szCs w:val="21"/>
              </w:rPr>
              <w:t>t</w:t>
            </w:r>
            <w:r w:rsidRPr="007B72E3"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B86707" w:rsidRPr="007B72E3" w:rsidTr="00F559DC">
        <w:trPr>
          <w:jc w:val="center"/>
        </w:trPr>
        <w:tc>
          <w:tcPr>
            <w:tcW w:w="2370" w:type="dxa"/>
            <w:gridSpan w:val="2"/>
            <w:vMerge/>
            <w:vAlign w:val="center"/>
          </w:tcPr>
          <w:p w:rsidR="00F559DC" w:rsidRPr="007B72E3" w:rsidRDefault="00F559DC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F559DC" w:rsidRPr="007B72E3" w:rsidRDefault="00F559DC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（</w:t>
            </w:r>
            <w:r w:rsidRPr="007B72E3">
              <w:rPr>
                <w:rFonts w:ascii="Times New Roman" w:hAnsi="Times New Roman" w:hint="eastAsia"/>
                <w:szCs w:val="21"/>
              </w:rPr>
              <w:t>m</w:t>
            </w:r>
            <w:r w:rsidRPr="007B72E3">
              <w:rPr>
                <w:rFonts w:ascii="Times New Roman" w:hAnsi="Times New Roman" w:hint="eastAsia"/>
                <w:szCs w:val="21"/>
              </w:rPr>
              <w:t>³）</w:t>
            </w:r>
          </w:p>
        </w:tc>
        <w:tc>
          <w:tcPr>
            <w:tcW w:w="1185" w:type="dxa"/>
            <w:vAlign w:val="center"/>
          </w:tcPr>
          <w:p w:rsidR="00F559DC" w:rsidRPr="007B72E3" w:rsidRDefault="00F559DC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（</w:t>
            </w:r>
            <w:r w:rsidRPr="007B72E3">
              <w:rPr>
                <w:rFonts w:ascii="Times New Roman" w:hAnsi="Times New Roman" w:hint="eastAsia"/>
                <w:szCs w:val="21"/>
              </w:rPr>
              <w:t>kg/m</w:t>
            </w:r>
            <w:r w:rsidRPr="007B72E3">
              <w:rPr>
                <w:rFonts w:ascii="Times New Roman" w:hAnsi="Times New Roman" w:hint="eastAsia"/>
                <w:szCs w:val="21"/>
              </w:rPr>
              <w:t>³）</w:t>
            </w:r>
          </w:p>
        </w:tc>
        <w:tc>
          <w:tcPr>
            <w:tcW w:w="1185" w:type="dxa"/>
            <w:vMerge/>
            <w:vAlign w:val="center"/>
          </w:tcPr>
          <w:p w:rsidR="00F559DC" w:rsidRPr="007B72E3" w:rsidRDefault="00F559DC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F559DC" w:rsidRPr="007B72E3" w:rsidRDefault="00F559DC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F559DC" w:rsidRPr="007B72E3" w:rsidRDefault="00F559DC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6707" w:rsidRPr="007B72E3" w:rsidTr="00B86707">
        <w:trPr>
          <w:jc w:val="center"/>
        </w:trPr>
        <w:tc>
          <w:tcPr>
            <w:tcW w:w="562" w:type="dxa"/>
            <w:vMerge w:val="restart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可再利用材料</w:t>
            </w:r>
          </w:p>
        </w:tc>
        <w:tc>
          <w:tcPr>
            <w:tcW w:w="1808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旧制品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Merge w:val="restart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15.49</w:t>
            </w:r>
          </w:p>
        </w:tc>
        <w:tc>
          <w:tcPr>
            <w:tcW w:w="1186" w:type="dxa"/>
            <w:vMerge w:val="restart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26536.62</w:t>
            </w:r>
          </w:p>
        </w:tc>
      </w:tr>
      <w:tr w:rsidR="00B86707" w:rsidRPr="007B72E3" w:rsidTr="00B86707">
        <w:trPr>
          <w:jc w:val="center"/>
        </w:trPr>
        <w:tc>
          <w:tcPr>
            <w:tcW w:w="562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旧部品</w:t>
            </w:r>
          </w:p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（</w:t>
            </w:r>
            <w:r w:rsidRPr="007B72E3">
              <w:rPr>
                <w:rFonts w:ascii="Times New Roman" w:hAnsi="Times New Roman" w:hint="eastAsia"/>
                <w:szCs w:val="21"/>
              </w:rPr>
              <w:t>GRC</w:t>
            </w:r>
            <w:r w:rsidRPr="007B72E3">
              <w:rPr>
                <w:rFonts w:ascii="Times New Roman" w:hAnsi="Times New Roman" w:hint="eastAsia"/>
                <w:szCs w:val="21"/>
              </w:rPr>
              <w:t>线脚</w:t>
            </w:r>
            <w:r w:rsidRPr="007B72E3">
              <w:rPr>
                <w:rFonts w:ascii="Times New Roman" w:hAnsi="Times New Roman" w:hint="eastAsia"/>
                <w:szCs w:val="21"/>
              </w:rPr>
              <w:t>m</w:t>
            </w:r>
            <w:r w:rsidRPr="007B72E3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B86707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774.26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20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15.49</w:t>
            </w:r>
          </w:p>
        </w:tc>
        <w:tc>
          <w:tcPr>
            <w:tcW w:w="1185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6707" w:rsidRPr="007B72E3" w:rsidTr="00B86707">
        <w:trPr>
          <w:jc w:val="center"/>
        </w:trPr>
        <w:tc>
          <w:tcPr>
            <w:tcW w:w="562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旧型材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6707" w:rsidRPr="007B72E3" w:rsidTr="00B86707">
        <w:trPr>
          <w:jc w:val="center"/>
        </w:trPr>
        <w:tc>
          <w:tcPr>
            <w:tcW w:w="562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其他可直接再利用旧建筑材料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6707" w:rsidRPr="007B72E3" w:rsidTr="00B86707">
        <w:trPr>
          <w:jc w:val="center"/>
        </w:trPr>
        <w:tc>
          <w:tcPr>
            <w:tcW w:w="562" w:type="dxa"/>
            <w:vMerge w:val="restart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可再循环材料</w:t>
            </w:r>
          </w:p>
        </w:tc>
        <w:tc>
          <w:tcPr>
            <w:tcW w:w="1808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钢材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1212.43</w:t>
            </w:r>
          </w:p>
        </w:tc>
        <w:tc>
          <w:tcPr>
            <w:tcW w:w="1185" w:type="dxa"/>
            <w:vMerge w:val="restart"/>
            <w:vAlign w:val="center"/>
          </w:tcPr>
          <w:p w:rsidR="00B86707" w:rsidRPr="007B72E3" w:rsidRDefault="00B86707" w:rsidP="00B86707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1749.92</w:t>
            </w:r>
          </w:p>
        </w:tc>
        <w:tc>
          <w:tcPr>
            <w:tcW w:w="1186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6707" w:rsidRPr="007B72E3" w:rsidTr="00B86707">
        <w:trPr>
          <w:jc w:val="center"/>
        </w:trPr>
        <w:tc>
          <w:tcPr>
            <w:tcW w:w="562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铜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6707" w:rsidRPr="007B72E3" w:rsidTr="00B86707">
        <w:trPr>
          <w:jc w:val="center"/>
        </w:trPr>
        <w:tc>
          <w:tcPr>
            <w:tcW w:w="562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木材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245.63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800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196.50</w:t>
            </w:r>
          </w:p>
        </w:tc>
        <w:tc>
          <w:tcPr>
            <w:tcW w:w="1185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6707" w:rsidRPr="007B72E3" w:rsidTr="00B86707">
        <w:trPr>
          <w:jc w:val="center"/>
        </w:trPr>
        <w:tc>
          <w:tcPr>
            <w:tcW w:w="562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铝合金型材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6707" w:rsidRPr="007B72E3" w:rsidTr="00B86707">
        <w:trPr>
          <w:jc w:val="center"/>
        </w:trPr>
        <w:tc>
          <w:tcPr>
            <w:tcW w:w="562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石膏制品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6707" w:rsidRPr="007B72E3" w:rsidTr="00B86707">
        <w:trPr>
          <w:jc w:val="center"/>
        </w:trPr>
        <w:tc>
          <w:tcPr>
            <w:tcW w:w="562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铝合金型材及门窗玻璃（㎡）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6912.35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45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311.06</w:t>
            </w:r>
          </w:p>
        </w:tc>
        <w:tc>
          <w:tcPr>
            <w:tcW w:w="1185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6707" w:rsidRPr="007B72E3" w:rsidTr="00B86707">
        <w:trPr>
          <w:jc w:val="center"/>
        </w:trPr>
        <w:tc>
          <w:tcPr>
            <w:tcW w:w="562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玻璃幕墙（㎡）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6707" w:rsidRPr="007B72E3" w:rsidTr="00B86707">
        <w:trPr>
          <w:jc w:val="center"/>
        </w:trPr>
        <w:tc>
          <w:tcPr>
            <w:tcW w:w="562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其他金属材料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29.93</w:t>
            </w:r>
          </w:p>
        </w:tc>
        <w:tc>
          <w:tcPr>
            <w:tcW w:w="1185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6707" w:rsidRPr="007B72E3" w:rsidTr="00B86707">
        <w:trPr>
          <w:jc w:val="center"/>
        </w:trPr>
        <w:tc>
          <w:tcPr>
            <w:tcW w:w="562" w:type="dxa"/>
            <w:vMerge w:val="restart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其他材料</w:t>
            </w:r>
          </w:p>
        </w:tc>
        <w:tc>
          <w:tcPr>
            <w:tcW w:w="1808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混凝土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8354.48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2200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18379.85</w:t>
            </w:r>
          </w:p>
        </w:tc>
        <w:tc>
          <w:tcPr>
            <w:tcW w:w="1185" w:type="dxa"/>
            <w:vMerge w:val="restart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24771.22</w:t>
            </w:r>
          </w:p>
        </w:tc>
        <w:tc>
          <w:tcPr>
            <w:tcW w:w="1186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6707" w:rsidRPr="007B72E3" w:rsidTr="00B86707">
        <w:trPr>
          <w:jc w:val="center"/>
        </w:trPr>
        <w:tc>
          <w:tcPr>
            <w:tcW w:w="562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建材砂浆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3766.11</w:t>
            </w:r>
          </w:p>
        </w:tc>
        <w:tc>
          <w:tcPr>
            <w:tcW w:w="1185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6707" w:rsidRPr="007B72E3" w:rsidTr="00B86707">
        <w:trPr>
          <w:jc w:val="center"/>
        </w:trPr>
        <w:tc>
          <w:tcPr>
            <w:tcW w:w="562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乳胶漆</w:t>
            </w:r>
            <w:r w:rsidRPr="007B72E3">
              <w:rPr>
                <w:rFonts w:ascii="Times New Roman" w:hAnsi="Times New Roman" w:hint="eastAsia"/>
                <w:szCs w:val="21"/>
              </w:rPr>
              <w:t>（㎡）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20.73</w:t>
            </w:r>
          </w:p>
        </w:tc>
        <w:tc>
          <w:tcPr>
            <w:tcW w:w="1185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6707" w:rsidRPr="007B72E3" w:rsidTr="00B86707">
        <w:trPr>
          <w:jc w:val="center"/>
        </w:trPr>
        <w:tc>
          <w:tcPr>
            <w:tcW w:w="562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屋面卷材</w:t>
            </w:r>
            <w:r w:rsidRPr="007B72E3">
              <w:rPr>
                <w:rFonts w:ascii="Times New Roman" w:hAnsi="Times New Roman" w:hint="eastAsia"/>
                <w:szCs w:val="21"/>
              </w:rPr>
              <w:t>（㎡）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5377.64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16.13</w:t>
            </w:r>
          </w:p>
        </w:tc>
        <w:tc>
          <w:tcPr>
            <w:tcW w:w="1185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6707" w:rsidRPr="007B72E3" w:rsidTr="00B86707">
        <w:trPr>
          <w:jc w:val="center"/>
        </w:trPr>
        <w:tc>
          <w:tcPr>
            <w:tcW w:w="562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石材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6707" w:rsidRPr="007B72E3" w:rsidTr="00B86707">
        <w:trPr>
          <w:jc w:val="center"/>
        </w:trPr>
        <w:tc>
          <w:tcPr>
            <w:tcW w:w="562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砌块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2588.40</w:t>
            </w:r>
          </w:p>
        </w:tc>
        <w:tc>
          <w:tcPr>
            <w:tcW w:w="1185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6707" w:rsidRPr="007B72E3" w:rsidTr="00B86707">
        <w:trPr>
          <w:jc w:val="center"/>
        </w:trPr>
        <w:tc>
          <w:tcPr>
            <w:tcW w:w="562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其他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7B72E3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185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B86707" w:rsidRPr="007B72E3" w:rsidRDefault="00B86707" w:rsidP="00F559D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</w:tbl>
    <w:p w:rsidR="00F559DC" w:rsidRPr="007B72E3" w:rsidRDefault="00B86707" w:rsidP="00B86707">
      <w:pPr>
        <w:jc w:val="left"/>
        <w:rPr>
          <w:rFonts w:ascii="Times New Roman" w:hAnsi="Times New Roman"/>
          <w:szCs w:val="21"/>
        </w:rPr>
      </w:pPr>
      <w:r w:rsidRPr="007B72E3">
        <w:rPr>
          <w:rFonts w:ascii="Times New Roman" w:hAnsi="Times New Roman" w:hint="eastAsia"/>
          <w:szCs w:val="21"/>
        </w:rPr>
        <w:t>注：甲方需保证所用可再循环材料其安全性、环保性均能够满足现行国家标准的相关要求。表中“其他”材料请说明名称、类型、用途。</w:t>
      </w:r>
    </w:p>
    <w:p w:rsidR="00B86707" w:rsidRPr="00A0486F" w:rsidRDefault="00B86707" w:rsidP="00A0486F">
      <w:pPr>
        <w:spacing w:line="360" w:lineRule="auto"/>
        <w:ind w:firstLineChars="200" w:firstLine="480"/>
        <w:jc w:val="left"/>
        <w:rPr>
          <w:rFonts w:ascii="Times New Roman" w:hAnsi="Times New Roman" w:cs="AdobeSongStd-Light"/>
          <w:kern w:val="0"/>
          <w:sz w:val="24"/>
          <w:szCs w:val="24"/>
        </w:rPr>
      </w:pPr>
      <w:r w:rsidRPr="00A0486F">
        <w:rPr>
          <w:rFonts w:ascii="Times New Roman" w:hAnsi="Times New Roman" w:hint="eastAsia"/>
          <w:sz w:val="24"/>
          <w:szCs w:val="24"/>
        </w:rPr>
        <w:t>由上表</w:t>
      </w:r>
      <w:r w:rsidRPr="00A0486F">
        <w:rPr>
          <w:rFonts w:ascii="Times New Roman" w:hAnsi="Times New Roman"/>
          <w:sz w:val="24"/>
          <w:szCs w:val="24"/>
        </w:rPr>
        <w:t xml:space="preserve">, </w:t>
      </w:r>
      <w:r w:rsidRPr="00A0486F">
        <w:rPr>
          <w:rFonts w:ascii="Times New Roman" w:hAnsi="Times New Roman"/>
          <w:sz w:val="24"/>
          <w:szCs w:val="24"/>
        </w:rPr>
        <w:t>本项目建筑材料总重量为</w:t>
      </w:r>
      <w:r w:rsidR="007B72E3" w:rsidRPr="00A0486F">
        <w:rPr>
          <w:rFonts w:ascii="Times New Roman" w:hAnsi="Times New Roman" w:hint="eastAsia"/>
          <w:sz w:val="24"/>
          <w:szCs w:val="24"/>
        </w:rPr>
        <w:t xml:space="preserve"> </w:t>
      </w:r>
      <w:r w:rsidRPr="00A0486F">
        <w:rPr>
          <w:rFonts w:ascii="Times New Roman" w:hAnsi="Times New Roman" w:cs="AdobeSongStd-Light" w:hint="eastAsia"/>
          <w:kern w:val="0"/>
          <w:sz w:val="24"/>
          <w:szCs w:val="24"/>
          <w:u w:val="single"/>
        </w:rPr>
        <w:t xml:space="preserve"> </w:t>
      </w:r>
      <w:r w:rsidRPr="00A0486F">
        <w:rPr>
          <w:rFonts w:ascii="Times New Roman" w:hAnsi="Times New Roman" w:cs="AdobeSongStd-Light"/>
          <w:kern w:val="0"/>
          <w:sz w:val="24"/>
          <w:szCs w:val="24"/>
          <w:u w:val="single"/>
        </w:rPr>
        <w:t xml:space="preserve">  </w:t>
      </w:r>
      <w:r w:rsidRPr="00A0486F">
        <w:rPr>
          <w:rFonts w:ascii="Times New Roman" w:hAnsi="Times New Roman" w:cs="AdobeSongStd-Light" w:hint="eastAsia"/>
          <w:kern w:val="0"/>
          <w:sz w:val="24"/>
          <w:szCs w:val="24"/>
          <w:u w:val="single"/>
        </w:rPr>
        <w:t xml:space="preserve">26536.62 </w:t>
      </w:r>
      <w:r w:rsidRPr="00A0486F">
        <w:rPr>
          <w:rFonts w:ascii="Times New Roman" w:hAnsi="Times New Roman" w:cs="AdobeSongStd-Light"/>
          <w:kern w:val="0"/>
          <w:sz w:val="24"/>
          <w:szCs w:val="24"/>
        </w:rPr>
        <w:t xml:space="preserve"> </w:t>
      </w:r>
      <w:r w:rsidRPr="00A0486F">
        <w:rPr>
          <w:rFonts w:ascii="Times New Roman" w:hAnsi="Times New Roman" w:cs="AdobeSongStd-Light" w:hint="eastAsia"/>
          <w:kern w:val="0"/>
          <w:sz w:val="24"/>
          <w:szCs w:val="24"/>
        </w:rPr>
        <w:t>t</w:t>
      </w:r>
      <w:r w:rsidR="007B72E3" w:rsidRPr="00A0486F">
        <w:rPr>
          <w:rFonts w:ascii="Times New Roman" w:hAnsi="Times New Roman" w:cs="AdobeSongStd-Light" w:hint="eastAsia"/>
          <w:kern w:val="0"/>
          <w:sz w:val="24"/>
          <w:szCs w:val="24"/>
        </w:rPr>
        <w:t>，</w:t>
      </w:r>
    </w:p>
    <w:p w:rsidR="007B72E3" w:rsidRPr="00A0486F" w:rsidRDefault="007B72E3" w:rsidP="00A0486F">
      <w:pPr>
        <w:spacing w:line="360" w:lineRule="auto"/>
        <w:ind w:firstLineChars="200" w:firstLine="480"/>
        <w:jc w:val="left"/>
        <w:rPr>
          <w:rFonts w:ascii="Times New Roman" w:hAnsi="Times New Roman" w:cs="AdobeSongStd-Light"/>
          <w:kern w:val="0"/>
          <w:sz w:val="24"/>
          <w:szCs w:val="24"/>
        </w:rPr>
      </w:pPr>
      <w:r w:rsidRPr="00A0486F">
        <w:rPr>
          <w:rFonts w:ascii="Times New Roman" w:hAnsi="Times New Roman" w:hint="eastAsia"/>
          <w:sz w:val="24"/>
          <w:szCs w:val="24"/>
        </w:rPr>
        <w:t>可再利用和可再循环材料重量为</w:t>
      </w:r>
      <w:r w:rsidRPr="00A0486F">
        <w:rPr>
          <w:rFonts w:ascii="Times New Roman" w:hAnsi="Times New Roman" w:hint="eastAsia"/>
          <w:sz w:val="24"/>
          <w:szCs w:val="24"/>
        </w:rPr>
        <w:t xml:space="preserve"> </w:t>
      </w:r>
      <w:r w:rsidRPr="00A0486F">
        <w:rPr>
          <w:rFonts w:ascii="Times New Roman" w:hAnsi="Times New Roman"/>
          <w:sz w:val="24"/>
          <w:szCs w:val="24"/>
        </w:rPr>
        <w:t xml:space="preserve"> </w:t>
      </w:r>
      <w:r w:rsidRPr="00A0486F">
        <w:rPr>
          <w:rFonts w:ascii="Times New Roman" w:hAnsi="Times New Roman" w:cs="AdobeSongStd-Light" w:hint="eastAsia"/>
          <w:kern w:val="0"/>
          <w:sz w:val="24"/>
          <w:szCs w:val="24"/>
          <w:u w:val="single"/>
        </w:rPr>
        <w:t xml:space="preserve"> </w:t>
      </w:r>
      <w:r w:rsidRPr="00A0486F">
        <w:rPr>
          <w:rFonts w:ascii="Times New Roman" w:hAnsi="Times New Roman" w:cs="AdobeSongStd-Light"/>
          <w:kern w:val="0"/>
          <w:sz w:val="24"/>
          <w:szCs w:val="24"/>
          <w:u w:val="single"/>
        </w:rPr>
        <w:t xml:space="preserve">  </w:t>
      </w:r>
      <w:r w:rsidRPr="00A0486F">
        <w:rPr>
          <w:rFonts w:ascii="Times New Roman" w:hAnsi="Times New Roman" w:cs="AdobeSongStd-Light" w:hint="eastAsia"/>
          <w:kern w:val="0"/>
          <w:sz w:val="24"/>
          <w:szCs w:val="24"/>
          <w:u w:val="single"/>
        </w:rPr>
        <w:t>1765.40</w:t>
      </w:r>
      <w:r w:rsidRPr="00A0486F">
        <w:rPr>
          <w:rFonts w:ascii="Times New Roman" w:hAnsi="Times New Roman" w:cs="AdobeSongStd-Light" w:hint="eastAsia"/>
          <w:kern w:val="0"/>
          <w:sz w:val="24"/>
          <w:szCs w:val="24"/>
          <w:u w:val="single"/>
        </w:rPr>
        <w:t xml:space="preserve"> </w:t>
      </w:r>
      <w:r w:rsidRPr="00A0486F">
        <w:rPr>
          <w:rFonts w:ascii="Times New Roman" w:hAnsi="Times New Roman" w:cs="AdobeSongStd-Light"/>
          <w:kern w:val="0"/>
          <w:sz w:val="24"/>
          <w:szCs w:val="24"/>
        </w:rPr>
        <w:t xml:space="preserve"> </w:t>
      </w:r>
      <w:r w:rsidRPr="00A0486F">
        <w:rPr>
          <w:rFonts w:ascii="Times New Roman" w:hAnsi="Times New Roman" w:cs="AdobeSongStd-Light" w:hint="eastAsia"/>
          <w:kern w:val="0"/>
          <w:sz w:val="24"/>
          <w:szCs w:val="24"/>
        </w:rPr>
        <w:t>t</w:t>
      </w:r>
      <w:r w:rsidRPr="00A0486F">
        <w:rPr>
          <w:rFonts w:ascii="Times New Roman" w:hAnsi="Times New Roman" w:cs="AdobeSongStd-Light"/>
          <w:kern w:val="0"/>
          <w:sz w:val="24"/>
          <w:szCs w:val="24"/>
        </w:rPr>
        <w:t>.</w:t>
      </w:r>
      <w:r w:rsidRPr="00A0486F">
        <w:rPr>
          <w:rFonts w:ascii="Times New Roman" w:hAnsi="Times New Roman" w:cs="AdobeSongStd-Light" w:hint="eastAsia"/>
          <w:kern w:val="0"/>
          <w:sz w:val="24"/>
          <w:szCs w:val="24"/>
        </w:rPr>
        <w:t>。</w:t>
      </w:r>
    </w:p>
    <w:p w:rsidR="007B72E3" w:rsidRPr="00A0486F" w:rsidRDefault="007B72E3" w:rsidP="00A0486F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A0486F">
        <w:rPr>
          <w:rFonts w:ascii="Times New Roman" w:hAnsi="Times New Roman" w:hint="eastAsia"/>
          <w:sz w:val="24"/>
          <w:szCs w:val="24"/>
        </w:rPr>
        <w:t>可再利用和可再循环材料用量比例</w:t>
      </w:r>
      <w:r w:rsidRPr="00A0486F">
        <w:rPr>
          <w:rFonts w:ascii="Times New Roman" w:hAnsi="Times New Roman" w:hint="eastAsia"/>
          <w:sz w:val="24"/>
          <w:szCs w:val="24"/>
        </w:rPr>
        <w:t xml:space="preserve"> </w:t>
      </w:r>
      <w:r w:rsidRPr="00A0486F">
        <w:rPr>
          <w:rFonts w:ascii="Times New Roman" w:hAnsi="Times New Roman"/>
          <w:sz w:val="24"/>
          <w:szCs w:val="24"/>
        </w:rPr>
        <w:t>=</w:t>
      </w:r>
      <w:r w:rsidRPr="00A0486F">
        <w:rPr>
          <w:rFonts w:ascii="Times New Roman" w:hAnsi="Times New Roman" w:hint="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可再利用和可再循环材料重量</m:t>
            </m:r>
          </m:num>
          <m:den>
            <m:r>
              <w:rPr>
                <w:rFonts w:ascii="Cambria Math" w:hAnsi="Cambria Math" w:hint="eastAsia"/>
                <w:sz w:val="24"/>
                <w:szCs w:val="24"/>
              </w:rPr>
              <m:t>项目建筑材料总重量</m:t>
            </m:r>
          </m:den>
        </m:f>
      </m:oMath>
      <w:r w:rsidRPr="00A0486F">
        <w:rPr>
          <w:rFonts w:ascii="Times New Roman" w:hAnsi="Times New Roman" w:hint="eastAsia"/>
          <w:sz w:val="24"/>
          <w:szCs w:val="24"/>
        </w:rPr>
        <w:t xml:space="preserve"> </w:t>
      </w:r>
      <w:r w:rsidRPr="00A0486F">
        <w:rPr>
          <w:rFonts w:ascii="Times New Roman" w:hAnsi="Times New Roman" w:hint="eastAsia"/>
          <w:sz w:val="24"/>
          <w:szCs w:val="24"/>
        </w:rPr>
        <w:t>×</w:t>
      </w:r>
      <w:r w:rsidRPr="00A0486F">
        <w:rPr>
          <w:rFonts w:ascii="Times New Roman" w:hAnsi="Times New Roman" w:hint="eastAsia"/>
          <w:sz w:val="24"/>
          <w:szCs w:val="24"/>
        </w:rPr>
        <w:t xml:space="preserve"> 100%</w:t>
      </w:r>
    </w:p>
    <w:p w:rsidR="007B72E3" w:rsidRPr="00A0486F" w:rsidRDefault="007B72E3" w:rsidP="00A0486F">
      <w:pPr>
        <w:spacing w:line="360" w:lineRule="auto"/>
        <w:ind w:firstLineChars="200" w:firstLine="480"/>
        <w:jc w:val="left"/>
        <w:rPr>
          <w:rFonts w:ascii="Times New Roman" w:hAnsi="Times New Roman" w:hint="eastAsia"/>
          <w:sz w:val="24"/>
          <w:szCs w:val="24"/>
        </w:rPr>
      </w:pPr>
      <w:r w:rsidRPr="00A0486F">
        <w:rPr>
          <w:rFonts w:ascii="Times New Roman" w:hAnsi="Times New Roman"/>
          <w:sz w:val="24"/>
          <w:szCs w:val="24"/>
        </w:rPr>
        <w:tab/>
      </w:r>
      <w:r w:rsidRPr="00A0486F">
        <w:rPr>
          <w:rFonts w:ascii="Times New Roman" w:hAnsi="Times New Roman"/>
          <w:sz w:val="24"/>
          <w:szCs w:val="24"/>
        </w:rPr>
        <w:tab/>
      </w:r>
      <w:r w:rsidRPr="00A0486F">
        <w:rPr>
          <w:rFonts w:ascii="Times New Roman" w:hAnsi="Times New Roman"/>
          <w:sz w:val="24"/>
          <w:szCs w:val="24"/>
        </w:rPr>
        <w:tab/>
      </w:r>
      <w:r w:rsidRPr="00A0486F">
        <w:rPr>
          <w:rFonts w:ascii="Times New Roman" w:hAnsi="Times New Roman"/>
          <w:sz w:val="24"/>
          <w:szCs w:val="24"/>
        </w:rPr>
        <w:tab/>
      </w:r>
      <w:r w:rsidRPr="00A0486F">
        <w:rPr>
          <w:rFonts w:ascii="Times New Roman" w:hAnsi="Times New Roman"/>
          <w:sz w:val="24"/>
          <w:szCs w:val="24"/>
        </w:rPr>
        <w:tab/>
      </w:r>
      <w:r w:rsidRPr="00A0486F">
        <w:rPr>
          <w:rFonts w:ascii="Times New Roman" w:hAnsi="Times New Roman"/>
          <w:sz w:val="24"/>
          <w:szCs w:val="24"/>
        </w:rPr>
        <w:tab/>
      </w:r>
      <w:r w:rsidRPr="00A0486F">
        <w:rPr>
          <w:rFonts w:ascii="Times New Roman" w:hAnsi="Times New Roman"/>
          <w:sz w:val="24"/>
          <w:szCs w:val="24"/>
        </w:rPr>
        <w:tab/>
        <w:t xml:space="preserve">   </w:t>
      </w:r>
      <w:r w:rsidRPr="00A0486F">
        <w:rPr>
          <w:rFonts w:ascii="Times New Roman" w:hAnsi="Times New Roman" w:hint="eastAsia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 w:hint="eastAsia"/>
                <w:sz w:val="24"/>
                <w:szCs w:val="24"/>
              </w:rPr>
              <m:t>1765.40</m:t>
            </m:r>
          </m:num>
          <m:den>
            <m:r>
              <w:rPr>
                <w:rFonts w:ascii="Cambria Math" w:hAnsi="Cambria Math" w:hint="eastAsia"/>
                <w:sz w:val="24"/>
                <w:szCs w:val="24"/>
              </w:rPr>
              <m:t>26536.62</m:t>
            </m:r>
          </m:den>
        </m:f>
      </m:oMath>
      <w:r w:rsidRPr="00A0486F">
        <w:rPr>
          <w:rFonts w:ascii="Times New Roman" w:hAnsi="Times New Roman" w:hint="eastAsia"/>
          <w:sz w:val="24"/>
          <w:szCs w:val="24"/>
        </w:rPr>
        <w:t xml:space="preserve"> </w:t>
      </w:r>
      <w:r w:rsidRPr="00A0486F">
        <w:rPr>
          <w:rFonts w:ascii="Times New Roman" w:hAnsi="Times New Roman" w:hint="eastAsia"/>
          <w:sz w:val="24"/>
          <w:szCs w:val="24"/>
        </w:rPr>
        <w:t>×</w:t>
      </w:r>
      <w:r w:rsidRPr="00A0486F">
        <w:rPr>
          <w:rFonts w:ascii="Times New Roman" w:hAnsi="Times New Roman" w:hint="eastAsia"/>
          <w:sz w:val="24"/>
          <w:szCs w:val="24"/>
        </w:rPr>
        <w:t xml:space="preserve"> </w:t>
      </w:r>
      <w:r w:rsidRPr="00A0486F">
        <w:rPr>
          <w:rFonts w:ascii="Times New Roman" w:hAnsi="Times New Roman" w:hint="eastAsia"/>
          <w:sz w:val="24"/>
          <w:szCs w:val="24"/>
        </w:rPr>
        <w:t>100%</w:t>
      </w:r>
      <w:r w:rsidRPr="00A0486F">
        <w:rPr>
          <w:rFonts w:ascii="Times New Roman" w:hAnsi="Times New Roman"/>
          <w:sz w:val="24"/>
          <w:szCs w:val="24"/>
        </w:rPr>
        <w:t xml:space="preserve"> </w:t>
      </w:r>
      <w:r w:rsidRPr="00A0486F">
        <w:rPr>
          <w:rFonts w:ascii="Times New Roman" w:hAnsi="Times New Roman" w:hint="eastAsia"/>
          <w:sz w:val="24"/>
          <w:szCs w:val="24"/>
        </w:rPr>
        <w:t>=</w:t>
      </w:r>
      <w:r w:rsidRPr="00A0486F">
        <w:rPr>
          <w:rFonts w:ascii="Times New Roman" w:hAnsi="Times New Roman"/>
          <w:sz w:val="24"/>
          <w:szCs w:val="24"/>
        </w:rPr>
        <w:t xml:space="preserve"> </w:t>
      </w:r>
      <w:r w:rsidRPr="00A0486F">
        <w:rPr>
          <w:rFonts w:ascii="Times New Roman" w:hAnsi="Times New Roman" w:hint="eastAsia"/>
          <w:sz w:val="24"/>
          <w:szCs w:val="24"/>
        </w:rPr>
        <w:t>6.65%</w:t>
      </w:r>
    </w:p>
    <w:p w:rsidR="007B72E3" w:rsidRPr="007B72E3" w:rsidRDefault="007B72E3" w:rsidP="007B72E3">
      <w:pPr>
        <w:pStyle w:val="2"/>
        <w:rPr>
          <w:rFonts w:ascii="Times New Roman" w:eastAsiaTheme="minorEastAsia" w:hAnsi="Times New Roman"/>
        </w:rPr>
      </w:pPr>
      <w:r w:rsidRPr="007B72E3">
        <w:rPr>
          <w:rFonts w:ascii="Times New Roman" w:eastAsiaTheme="minorEastAsia" w:hAnsi="Times New Roman" w:hint="eastAsia"/>
        </w:rPr>
        <w:t>三</w:t>
      </w:r>
      <w:r w:rsidRPr="007B72E3">
        <w:rPr>
          <w:rFonts w:ascii="Times New Roman" w:eastAsiaTheme="minorEastAsia" w:hAnsi="Times New Roman" w:hint="eastAsia"/>
        </w:rPr>
        <w:t>、</w:t>
      </w:r>
      <w:r w:rsidRPr="007B72E3">
        <w:rPr>
          <w:rFonts w:ascii="Times New Roman" w:eastAsiaTheme="minorEastAsia" w:hAnsi="Times New Roman" w:hint="eastAsia"/>
        </w:rPr>
        <w:t>结论</w:t>
      </w:r>
    </w:p>
    <w:p w:rsidR="007B72E3" w:rsidRPr="007B72E3" w:rsidRDefault="007B72E3" w:rsidP="00A0486F">
      <w:pPr>
        <w:ind w:firstLineChars="200" w:firstLine="480"/>
        <w:rPr>
          <w:rFonts w:ascii="Times New Roman" w:hAnsi="Times New Roman" w:hint="eastAsia"/>
        </w:rPr>
      </w:pPr>
      <w:r w:rsidRPr="007B72E3">
        <w:rPr>
          <w:rFonts w:ascii="Times New Roman" w:hAnsi="Times New Roman" w:cs="AdobeSongStd-Light" w:hint="eastAsia"/>
          <w:kern w:val="0"/>
          <w:sz w:val="24"/>
          <w:szCs w:val="24"/>
        </w:rPr>
        <w:t>本工程可再利用和可再循环材料用量比例为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</w:rPr>
        <w:t>6.65%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</w:rPr>
        <w:t>，依据《绿色建筑评价标准》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</w:rPr>
        <w:t xml:space="preserve"> GB/T</w:t>
      </w:r>
      <w:r w:rsidRPr="007B72E3">
        <w:rPr>
          <w:rFonts w:ascii="Times New Roman" w:hAnsi="Times New Roman" w:cs="AdobeSongStd-Light"/>
          <w:kern w:val="0"/>
          <w:sz w:val="24"/>
          <w:szCs w:val="24"/>
        </w:rPr>
        <w:t xml:space="preserve"> 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</w:rPr>
        <w:t>50378-2019</w:t>
      </w:r>
      <w:r w:rsidRPr="007B72E3">
        <w:rPr>
          <w:rFonts w:ascii="Times New Roman" w:hAnsi="Times New Roman" w:cs="AdobeSongStd-Light"/>
          <w:kern w:val="0"/>
          <w:sz w:val="24"/>
          <w:szCs w:val="24"/>
        </w:rPr>
        <w:t xml:space="preserve"> 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</w:rPr>
        <w:t>第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</w:rPr>
        <w:t>7.2.17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</w:rPr>
        <w:t>条，可再循环材料和可再利用材料用量比例，住宅建筑达到</w:t>
      </w:r>
      <w:r w:rsidRPr="007B72E3">
        <w:rPr>
          <w:rFonts w:ascii="Times New Roman" w:hAnsi="Times New Roman" w:cs="AdobeSongStd-Light"/>
          <w:kern w:val="0"/>
          <w:sz w:val="24"/>
          <w:szCs w:val="24"/>
        </w:rPr>
        <w:t>6%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</w:rPr>
        <w:t>，得</w:t>
      </w:r>
      <w:r w:rsidRPr="007B72E3">
        <w:rPr>
          <w:rFonts w:ascii="Times New Roman" w:hAnsi="Times New Roman" w:cs="AdobeSongStd-Light"/>
          <w:kern w:val="0"/>
          <w:sz w:val="24"/>
          <w:szCs w:val="24"/>
        </w:rPr>
        <w:t>3</w:t>
      </w:r>
      <w:r w:rsidRPr="007B72E3">
        <w:rPr>
          <w:rFonts w:ascii="Times New Roman" w:hAnsi="Times New Roman" w:cs="AdobeSongStd-Light"/>
          <w:kern w:val="0"/>
          <w:sz w:val="24"/>
          <w:szCs w:val="24"/>
        </w:rPr>
        <w:t>分</w:t>
      </w:r>
      <w:r w:rsidRPr="007B72E3">
        <w:rPr>
          <w:rFonts w:ascii="Times New Roman" w:hAnsi="Times New Roman" w:cs="AdobeSongStd-Light" w:hint="eastAsia"/>
          <w:kern w:val="0"/>
          <w:sz w:val="24"/>
          <w:szCs w:val="24"/>
        </w:rPr>
        <w:t>。</w:t>
      </w:r>
    </w:p>
    <w:p w:rsidR="00B86707" w:rsidRPr="007B72E3" w:rsidRDefault="00B86707" w:rsidP="00B86707">
      <w:pPr>
        <w:jc w:val="left"/>
        <w:rPr>
          <w:rFonts w:ascii="Times New Roman" w:hAnsi="Times New Roman" w:hint="eastAsia"/>
          <w:szCs w:val="21"/>
        </w:rPr>
      </w:pPr>
      <w:bookmarkStart w:id="0" w:name="_GoBack"/>
      <w:bookmarkEnd w:id="0"/>
    </w:p>
    <w:sectPr w:rsidR="00B86707" w:rsidRPr="007B7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492" w:rsidRDefault="00060492" w:rsidP="00716024">
      <w:r>
        <w:separator/>
      </w:r>
    </w:p>
  </w:endnote>
  <w:endnote w:type="continuationSeparator" w:id="0">
    <w:p w:rsidR="00060492" w:rsidRDefault="00060492" w:rsidP="0071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492" w:rsidRDefault="00060492" w:rsidP="00716024">
      <w:r>
        <w:separator/>
      </w:r>
    </w:p>
  </w:footnote>
  <w:footnote w:type="continuationSeparator" w:id="0">
    <w:p w:rsidR="00060492" w:rsidRDefault="00060492" w:rsidP="0071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98"/>
    <w:rsid w:val="00060492"/>
    <w:rsid w:val="00716024"/>
    <w:rsid w:val="007B72E3"/>
    <w:rsid w:val="008807E6"/>
    <w:rsid w:val="00A0486F"/>
    <w:rsid w:val="00A66B26"/>
    <w:rsid w:val="00B86707"/>
    <w:rsid w:val="00BD0A6C"/>
    <w:rsid w:val="00D31898"/>
    <w:rsid w:val="00F5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790AA"/>
  <w15:chartTrackingRefBased/>
  <w15:docId w15:val="{18907EB5-CE0C-40B6-86C9-772758E3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559D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60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6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6024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559DC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rsid w:val="00F55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7B72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2020-10-22T08:21:00Z</dcterms:created>
  <dcterms:modified xsi:type="dcterms:W3CDTF">2020-10-23T02:33:00Z</dcterms:modified>
</cp:coreProperties>
</file>