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17CE89">
      <w:pPr>
        <w:autoSpaceDE w:val="0"/>
        <w:autoSpaceDN w:val="0"/>
        <w:jc w:val="center"/>
        <w:rPr>
          <w:rFonts w:hint="eastAsia" w:ascii="黑体" w:hAnsi="黑体" w:eastAsia="黑体" w:cs="PMingLiU"/>
          <w:sz w:val="64"/>
          <w:szCs w:val="64"/>
          <w:lang w:val="zh-CN" w:bidi="zh-CN"/>
        </w:rPr>
      </w:pPr>
    </w:p>
    <w:p w14:paraId="34C2B876">
      <w:pPr>
        <w:autoSpaceDE w:val="0"/>
        <w:autoSpaceDN w:val="0"/>
        <w:jc w:val="center"/>
        <w:rPr>
          <w:rFonts w:hint="eastAsia" w:ascii="黑体" w:hAnsi="黑体" w:eastAsia="黑体" w:cs="PMingLiU"/>
          <w:sz w:val="64"/>
          <w:szCs w:val="64"/>
          <w:lang w:val="zh-CN" w:bidi="zh-CN"/>
        </w:rPr>
      </w:pPr>
      <w:r>
        <w:drawing>
          <wp:anchor distT="0" distB="0" distL="114300" distR="114300" simplePos="0" relativeHeight="251661312" behindDoc="0" locked="0" layoutInCell="1" allowOverlap="1">
            <wp:simplePos x="0" y="0"/>
            <wp:positionH relativeFrom="column">
              <wp:posOffset>350520</wp:posOffset>
            </wp:positionH>
            <wp:positionV relativeFrom="paragraph">
              <wp:posOffset>-845820</wp:posOffset>
            </wp:positionV>
            <wp:extent cx="2444115" cy="360045"/>
            <wp:effectExtent l="0" t="0" r="0" b="1905"/>
            <wp:wrapNone/>
            <wp:docPr id="14"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2"/>
                    <pic:cNvPicPr>
                      <a:picLocks noChangeAspect="1"/>
                    </pic:cNvPicPr>
                  </pic:nvPicPr>
                  <pic:blipFill>
                    <a:blip r:embed="rId20"/>
                    <a:stretch>
                      <a:fillRect/>
                    </a:stretch>
                  </pic:blipFill>
                  <pic:spPr>
                    <a:xfrm>
                      <a:off x="0" y="0"/>
                      <a:ext cx="2444115" cy="36004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-537210</wp:posOffset>
            </wp:positionH>
            <wp:positionV relativeFrom="paragraph">
              <wp:posOffset>-1085215</wp:posOffset>
            </wp:positionV>
            <wp:extent cx="899795" cy="899795"/>
            <wp:effectExtent l="0" t="0" r="14605" b="14605"/>
            <wp:wrapNone/>
            <wp:docPr id="13" name="图片 116" descr="http://www.jluat.edu.cn/kindeditor/jlucc/2019-04-02_5d6a010c-7822-4737-af71-9de3ee1d5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6" descr="http://www.jluat.edu.cn/kindeditor/jlucc/2019-04-02_5d6a010c-7822-4737-af71-9de3ee1d5446.png"/>
                    <pic:cNvPicPr>
                      <a:picLocks noChangeAspect="1"/>
                    </pic:cNvPicPr>
                  </pic:nvPicPr>
                  <pic:blipFill>
                    <a:blip r:embed="rId21" r:link="rId22"/>
                    <a:stretch>
                      <a:fillRect/>
                    </a:stretch>
                  </pic:blipFill>
                  <pic:spPr>
                    <a:xfrm>
                      <a:off x="0" y="0"/>
                      <a:ext cx="899795" cy="899795"/>
                    </a:xfrm>
                    <a:prstGeom prst="rect">
                      <a:avLst/>
                    </a:prstGeom>
                    <a:noFill/>
                    <a:ln>
                      <a:noFill/>
                    </a:ln>
                  </pic:spPr>
                </pic:pic>
              </a:graphicData>
            </a:graphic>
          </wp:anchor>
        </w:drawing>
      </w:r>
    </w:p>
    <w:p w14:paraId="6DC4BEB8">
      <w:pPr>
        <w:autoSpaceDE w:val="0"/>
        <w:autoSpaceDN w:val="0"/>
        <w:jc w:val="center"/>
        <w:rPr>
          <w:rFonts w:hint="eastAsia" w:ascii="宋体" w:hAnsi="宋体" w:cs="宋体"/>
          <w:sz w:val="36"/>
          <w:szCs w:val="36"/>
          <w:lang w:bidi="zh-CN"/>
        </w:rPr>
      </w:pPr>
      <w:r>
        <w:rPr>
          <w:rFonts w:hint="eastAsia" w:ascii="宋体" w:hAnsi="宋体" w:cs="宋体"/>
          <w:sz w:val="36"/>
          <w:szCs w:val="36"/>
          <w:lang w:bidi="zh-CN"/>
        </w:rPr>
        <w:t>毕业设计</w:t>
      </w:r>
    </w:p>
    <w:p w14:paraId="54FE9299">
      <w:pPr>
        <w:autoSpaceDE w:val="0"/>
        <w:autoSpaceDN w:val="0"/>
        <w:jc w:val="center"/>
        <w:rPr>
          <w:rFonts w:hint="eastAsia" w:ascii="黑体" w:hAnsi="黑体" w:eastAsia="黑体" w:cs="PMingLiU"/>
          <w:sz w:val="36"/>
          <w:szCs w:val="36"/>
          <w:lang w:bidi="zh-CN"/>
        </w:rPr>
      </w:pPr>
    </w:p>
    <w:p w14:paraId="0B82DF83">
      <w:pPr>
        <w:autoSpaceDE w:val="0"/>
        <w:autoSpaceDN w:val="0"/>
        <w:jc w:val="center"/>
        <w:rPr>
          <w:rFonts w:hint="eastAsia" w:ascii="黑体" w:hAnsi="黑体" w:eastAsia="黑体" w:cs="PMingLiU"/>
          <w:sz w:val="48"/>
          <w:szCs w:val="48"/>
          <w:lang w:bidi="zh-CN"/>
        </w:rPr>
      </w:pPr>
      <w:r>
        <w:rPr>
          <w:rFonts w:hint="eastAsia" w:ascii="黑体" w:hAnsi="黑体" w:eastAsia="黑体" w:cs="PMingLiU"/>
          <w:sz w:val="48"/>
          <w:szCs w:val="48"/>
          <w:lang w:bidi="zh-CN"/>
        </w:rPr>
        <w:t>安徽省安庆市宿松县程集中学教学楼</w:t>
      </w:r>
    </w:p>
    <w:p w14:paraId="1FF59A3D">
      <w:pPr>
        <w:autoSpaceDE w:val="0"/>
        <w:autoSpaceDN w:val="0"/>
        <w:jc w:val="center"/>
        <w:rPr>
          <w:rFonts w:hint="eastAsia" w:ascii="黑体" w:hAnsi="黑体" w:eastAsia="黑体" w:cs="PMingLiU"/>
          <w:sz w:val="30"/>
          <w:szCs w:val="30"/>
          <w:lang w:val="zh-CN" w:bidi="zh-CN"/>
        </w:rPr>
      </w:pPr>
      <w:r>
        <w:rPr>
          <w:rFonts w:hint="eastAsia" w:ascii="黑体" w:hAnsi="黑体" w:eastAsia="黑体" w:cs="PMingLiU"/>
          <w:sz w:val="48"/>
          <w:szCs w:val="48"/>
          <w:lang w:bidi="zh-CN"/>
        </w:rPr>
        <w:t>节能改造方案</w:t>
      </w:r>
    </w:p>
    <w:p w14:paraId="05160446">
      <w:pPr>
        <w:autoSpaceDE w:val="0"/>
        <w:autoSpaceDN w:val="0"/>
        <w:jc w:val="center"/>
        <w:rPr>
          <w:rFonts w:hint="eastAsia" w:ascii="黑体" w:hAnsi="黑体" w:eastAsia="黑体" w:cs="PMingLiU"/>
          <w:sz w:val="30"/>
          <w:szCs w:val="30"/>
          <w:lang w:val="zh-CN" w:bidi="zh-CN"/>
        </w:rPr>
      </w:pPr>
      <w:r>
        <w:rPr>
          <w:rFonts w:ascii="黑体" w:hAnsi="黑体" w:eastAsia="黑体" w:cs="PMingLiU"/>
          <w:sz w:val="32"/>
          <w:szCs w:val="32"/>
          <w:u w:val="single"/>
        </w:rPr>
        <w:drawing>
          <wp:anchor distT="0" distB="0" distL="114300" distR="114300" simplePos="0" relativeHeight="251659264" behindDoc="1" locked="0" layoutInCell="1" allowOverlap="1">
            <wp:simplePos x="0" y="0"/>
            <wp:positionH relativeFrom="column">
              <wp:posOffset>-959485</wp:posOffset>
            </wp:positionH>
            <wp:positionV relativeFrom="paragraph">
              <wp:posOffset>276860</wp:posOffset>
            </wp:positionV>
            <wp:extent cx="7632065" cy="6162675"/>
            <wp:effectExtent l="0" t="0" r="6985" b="9525"/>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3"/>
                    <a:stretch>
                      <a:fillRect/>
                    </a:stretch>
                  </pic:blipFill>
                  <pic:spPr>
                    <a:xfrm>
                      <a:off x="0" y="0"/>
                      <a:ext cx="7632065" cy="6162675"/>
                    </a:xfrm>
                    <a:prstGeom prst="rect">
                      <a:avLst/>
                    </a:prstGeom>
                    <a:noFill/>
                    <a:ln>
                      <a:noFill/>
                    </a:ln>
                  </pic:spPr>
                </pic:pic>
              </a:graphicData>
            </a:graphic>
          </wp:anchor>
        </w:drawing>
      </w:r>
    </w:p>
    <w:p w14:paraId="11E95F6F">
      <w:pPr>
        <w:autoSpaceDE w:val="0"/>
        <w:autoSpaceDN w:val="0"/>
        <w:spacing w:line="480" w:lineRule="auto"/>
        <w:ind w:firstLine="1800" w:firstLineChars="600"/>
        <w:jc w:val="left"/>
        <w:rPr>
          <w:rFonts w:hint="eastAsia" w:ascii="黑体" w:hAnsi="黑体" w:eastAsia="黑体" w:cs="PMingLiU"/>
          <w:sz w:val="30"/>
          <w:szCs w:val="30"/>
          <w:u w:val="single"/>
          <w:lang w:val="zh-CN" w:bidi="zh-CN"/>
        </w:rPr>
      </w:pPr>
      <w:r>
        <w:rPr>
          <w:rFonts w:hint="eastAsia" w:ascii="黑体" w:hAnsi="黑体" w:eastAsia="黑体" w:cs="PMingLiU"/>
          <w:sz w:val="30"/>
          <w:szCs w:val="30"/>
          <w:lang w:val="zh-CN" w:bidi="zh-CN"/>
        </w:rPr>
        <w:t xml:space="preserve">学 </w:t>
      </w:r>
      <w:r>
        <w:rPr>
          <w:rFonts w:ascii="黑体" w:hAnsi="黑体" w:eastAsia="黑体" w:cs="PMingLiU"/>
          <w:sz w:val="30"/>
          <w:szCs w:val="30"/>
          <w:lang w:val="zh-CN" w:bidi="zh-CN"/>
        </w:rPr>
        <w:t xml:space="preserve">   </w:t>
      </w:r>
      <w:r>
        <w:rPr>
          <w:rFonts w:hint="eastAsia" w:ascii="黑体" w:hAnsi="黑体" w:eastAsia="黑体" w:cs="PMingLiU"/>
          <w:sz w:val="30"/>
          <w:szCs w:val="30"/>
          <w:lang w:val="zh-CN" w:bidi="zh-CN"/>
        </w:rPr>
        <w:t>院：</w:t>
      </w:r>
      <w:r>
        <w:rPr>
          <w:rFonts w:hint="eastAsia" w:ascii="黑体" w:hAnsi="黑体" w:eastAsia="黑体" w:cs="黑体"/>
          <w:sz w:val="30"/>
          <w:szCs w:val="30"/>
          <w:u w:val="single"/>
          <w:lang w:val="zh-CN" w:bidi="zh-CN"/>
        </w:rPr>
        <w:t xml:space="preserve">     </w:t>
      </w:r>
      <w:r>
        <w:rPr>
          <w:rFonts w:hint="eastAsia" w:ascii="黑体" w:hAnsi="黑体" w:eastAsia="黑体" w:cs="黑体"/>
          <w:sz w:val="30"/>
          <w:szCs w:val="30"/>
          <w:u w:val="single"/>
          <w:lang w:bidi="zh-CN"/>
        </w:rPr>
        <w:t xml:space="preserve"> 管理工程</w:t>
      </w:r>
      <w:r>
        <w:rPr>
          <w:rFonts w:hint="eastAsia" w:ascii="黑体" w:hAnsi="黑体" w:eastAsia="黑体" w:cs="黑体"/>
          <w:sz w:val="30"/>
          <w:szCs w:val="30"/>
          <w:u w:val="single"/>
          <w:lang w:val="zh-CN" w:bidi="zh-CN"/>
        </w:rPr>
        <w:t xml:space="preserve">学院   </w:t>
      </w:r>
      <w:r>
        <w:rPr>
          <w:rFonts w:hint="eastAsia" w:ascii="黑体" w:hAnsi="黑体" w:eastAsia="黑体" w:cs="黑体"/>
          <w:sz w:val="30"/>
          <w:szCs w:val="30"/>
          <w:u w:val="single"/>
          <w:lang w:bidi="zh-CN"/>
        </w:rPr>
        <w:t xml:space="preserve"> </w:t>
      </w:r>
      <w:r>
        <w:rPr>
          <w:rFonts w:hint="eastAsia" w:ascii="黑体" w:hAnsi="黑体" w:eastAsia="黑体" w:cs="黑体"/>
          <w:sz w:val="30"/>
          <w:szCs w:val="30"/>
          <w:u w:val="single"/>
          <w:lang w:val="zh-CN" w:bidi="zh-CN"/>
        </w:rPr>
        <w:t xml:space="preserve">     </w:t>
      </w:r>
    </w:p>
    <w:p w14:paraId="6DDD334A">
      <w:pPr>
        <w:tabs>
          <w:tab w:val="left" w:pos="1985"/>
          <w:tab w:val="left" w:pos="2268"/>
          <w:tab w:val="clear" w:pos="377"/>
        </w:tabs>
        <w:autoSpaceDE w:val="0"/>
        <w:autoSpaceDN w:val="0"/>
        <w:spacing w:line="480" w:lineRule="auto"/>
        <w:ind w:firstLine="1800" w:firstLineChars="600"/>
        <w:jc w:val="left"/>
        <w:rPr>
          <w:rFonts w:hint="eastAsia" w:ascii="黑体" w:hAnsi="黑体" w:eastAsia="黑体" w:cs="PMingLiU"/>
          <w:sz w:val="30"/>
          <w:szCs w:val="30"/>
          <w:u w:val="single"/>
          <w:lang w:val="zh-CN" w:bidi="zh-CN"/>
        </w:rPr>
      </w:pPr>
      <w:r>
        <w:rPr>
          <w:rFonts w:hint="eastAsia" w:ascii="黑体" w:hAnsi="黑体" w:eastAsia="黑体" w:cs="PMingLiU"/>
          <w:sz w:val="30"/>
          <w:szCs w:val="30"/>
          <w:lang w:val="zh-CN" w:bidi="zh-CN"/>
        </w:rPr>
        <w:t xml:space="preserve">专 </w:t>
      </w:r>
      <w:r>
        <w:rPr>
          <w:rFonts w:ascii="黑体" w:hAnsi="黑体" w:eastAsia="黑体" w:cs="PMingLiU"/>
          <w:sz w:val="30"/>
          <w:szCs w:val="30"/>
          <w:lang w:val="zh-CN" w:bidi="zh-CN"/>
        </w:rPr>
        <w:t xml:space="preserve">   </w:t>
      </w:r>
      <w:r>
        <w:rPr>
          <w:rFonts w:hint="eastAsia" w:ascii="黑体" w:hAnsi="黑体" w:eastAsia="黑体" w:cs="PMingLiU"/>
          <w:sz w:val="30"/>
          <w:szCs w:val="30"/>
          <w:lang w:val="zh-CN" w:bidi="zh-CN"/>
        </w:rPr>
        <w:t>业：</w:t>
      </w:r>
      <w:r>
        <w:rPr>
          <w:rFonts w:hint="eastAsia" w:ascii="黑体" w:hAnsi="黑体" w:eastAsia="黑体" w:cs="黑体"/>
          <w:sz w:val="30"/>
          <w:szCs w:val="30"/>
          <w:u w:val="single"/>
          <w:lang w:val="zh-CN" w:bidi="zh-CN"/>
        </w:rPr>
        <w:t xml:space="preserve">    </w:t>
      </w:r>
      <w:r>
        <w:rPr>
          <w:rFonts w:hint="eastAsia" w:ascii="黑体" w:hAnsi="黑体" w:eastAsia="黑体" w:cs="黑体"/>
          <w:sz w:val="30"/>
          <w:szCs w:val="30"/>
          <w:u w:val="single"/>
          <w:lang w:bidi="zh-CN"/>
        </w:rPr>
        <w:t xml:space="preserve">    工程管理      </w:t>
      </w:r>
      <w:r>
        <w:rPr>
          <w:rFonts w:hint="eastAsia" w:ascii="黑体" w:hAnsi="黑体" w:eastAsia="黑体" w:cs="黑体"/>
          <w:sz w:val="30"/>
          <w:szCs w:val="30"/>
          <w:u w:val="single"/>
          <w:lang w:val="zh-CN" w:bidi="zh-CN"/>
        </w:rPr>
        <w:t xml:space="preserve">     </w:t>
      </w:r>
    </w:p>
    <w:p w14:paraId="60E74D5C">
      <w:pPr>
        <w:tabs>
          <w:tab w:val="left" w:pos="1985"/>
          <w:tab w:val="left" w:pos="2268"/>
          <w:tab w:val="clear" w:pos="377"/>
        </w:tabs>
        <w:autoSpaceDE w:val="0"/>
        <w:autoSpaceDN w:val="0"/>
        <w:spacing w:line="480" w:lineRule="auto"/>
        <w:ind w:firstLine="1800" w:firstLineChars="600"/>
        <w:jc w:val="left"/>
        <w:rPr>
          <w:rFonts w:hint="eastAsia" w:ascii="黑体" w:hAnsi="黑体" w:eastAsia="黑体" w:cs="PMingLiU"/>
          <w:sz w:val="30"/>
          <w:szCs w:val="30"/>
          <w:u w:val="single"/>
          <w:lang w:val="zh-CN" w:bidi="zh-CN"/>
        </w:rPr>
      </w:pPr>
      <w:r>
        <w:rPr>
          <w:rFonts w:hint="eastAsia" w:ascii="黑体" w:hAnsi="黑体" w:eastAsia="黑体" w:cs="PMingLiU"/>
          <w:sz w:val="30"/>
          <w:szCs w:val="30"/>
          <w:lang w:val="zh-CN" w:bidi="zh-CN"/>
        </w:rPr>
        <w:t xml:space="preserve">班 </w:t>
      </w:r>
      <w:r>
        <w:rPr>
          <w:rFonts w:ascii="黑体" w:hAnsi="黑体" w:eastAsia="黑体" w:cs="PMingLiU"/>
          <w:sz w:val="30"/>
          <w:szCs w:val="30"/>
          <w:lang w:val="zh-CN" w:bidi="zh-CN"/>
        </w:rPr>
        <w:t xml:space="preserve">   </w:t>
      </w:r>
      <w:r>
        <w:rPr>
          <w:rFonts w:hint="eastAsia" w:ascii="黑体" w:hAnsi="黑体" w:eastAsia="黑体" w:cs="PMingLiU"/>
          <w:sz w:val="30"/>
          <w:szCs w:val="30"/>
          <w:lang w:val="zh-CN" w:bidi="zh-CN"/>
        </w:rPr>
        <w:t>级：</w:t>
      </w:r>
      <w:r>
        <w:rPr>
          <w:rFonts w:hint="eastAsia" w:ascii="黑体" w:hAnsi="黑体" w:eastAsia="黑体" w:cs="黑体"/>
          <w:sz w:val="30"/>
          <w:szCs w:val="30"/>
          <w:u w:val="single"/>
          <w:lang w:val="zh-CN" w:bidi="zh-CN"/>
        </w:rPr>
        <w:t xml:space="preserve">     20</w:t>
      </w:r>
      <w:r>
        <w:rPr>
          <w:rFonts w:hint="eastAsia" w:ascii="黑体" w:hAnsi="黑体" w:eastAsia="黑体" w:cs="黑体"/>
          <w:sz w:val="30"/>
          <w:szCs w:val="30"/>
          <w:u w:val="single"/>
          <w:lang w:val="en-US" w:bidi="zh-CN"/>
        </w:rPr>
        <w:t>22</w:t>
      </w:r>
      <w:r>
        <w:rPr>
          <w:rFonts w:hint="eastAsia" w:ascii="黑体" w:hAnsi="黑体" w:eastAsia="黑体" w:cs="黑体"/>
          <w:sz w:val="30"/>
          <w:szCs w:val="30"/>
          <w:u w:val="single"/>
          <w:lang w:val="zh-CN" w:bidi="zh-CN"/>
        </w:rPr>
        <w:t>-</w:t>
      </w:r>
      <w:r>
        <w:rPr>
          <w:rFonts w:hint="eastAsia" w:ascii="黑体" w:hAnsi="黑体" w:eastAsia="黑体" w:cs="黑体"/>
          <w:sz w:val="30"/>
          <w:szCs w:val="30"/>
          <w:u w:val="single"/>
          <w:lang w:val="en-US" w:bidi="zh-CN"/>
        </w:rPr>
        <w:t>2（清洁能源）</w:t>
      </w:r>
      <w:r>
        <w:rPr>
          <w:rFonts w:hint="eastAsia" w:ascii="黑体" w:hAnsi="黑体" w:eastAsia="黑体" w:cs="黑体"/>
          <w:sz w:val="30"/>
          <w:szCs w:val="30"/>
          <w:u w:val="single"/>
          <w:lang w:val="zh-CN" w:bidi="zh-CN"/>
        </w:rPr>
        <w:t xml:space="preserve">    </w:t>
      </w:r>
    </w:p>
    <w:p w14:paraId="01413198">
      <w:pPr>
        <w:autoSpaceDE w:val="0"/>
        <w:autoSpaceDN w:val="0"/>
        <w:spacing w:line="480" w:lineRule="auto"/>
        <w:ind w:firstLine="1800" w:firstLineChars="600"/>
        <w:jc w:val="left"/>
        <w:rPr>
          <w:rFonts w:hint="eastAsia" w:ascii="黑体" w:hAnsi="黑体" w:eastAsia="黑体" w:cs="PMingLiU"/>
          <w:sz w:val="30"/>
          <w:szCs w:val="30"/>
          <w:u w:val="single"/>
          <w:lang w:val="zh-CN" w:bidi="zh-CN"/>
        </w:rPr>
      </w:pPr>
      <w:r>
        <w:rPr>
          <w:rFonts w:hint="eastAsia" w:ascii="黑体" w:hAnsi="黑体" w:eastAsia="黑体" w:cs="PMingLiU"/>
          <w:sz w:val="30"/>
          <w:szCs w:val="30"/>
          <w:lang w:val="zh-CN" w:bidi="zh-CN"/>
        </w:rPr>
        <w:t xml:space="preserve">姓 </w:t>
      </w:r>
      <w:r>
        <w:rPr>
          <w:rFonts w:ascii="黑体" w:hAnsi="黑体" w:eastAsia="黑体" w:cs="PMingLiU"/>
          <w:sz w:val="30"/>
          <w:szCs w:val="30"/>
          <w:lang w:val="zh-CN" w:bidi="zh-CN"/>
        </w:rPr>
        <w:t xml:space="preserve">   </w:t>
      </w:r>
      <w:r>
        <w:rPr>
          <w:rFonts w:hint="eastAsia" w:ascii="黑体" w:hAnsi="黑体" w:eastAsia="黑体" w:cs="PMingLiU"/>
          <w:sz w:val="30"/>
          <w:szCs w:val="30"/>
          <w:lang w:val="zh-CN" w:bidi="zh-CN"/>
        </w:rPr>
        <w:t>名：</w:t>
      </w:r>
      <w:r>
        <w:rPr>
          <w:rFonts w:hint="eastAsia" w:ascii="黑体" w:hAnsi="黑体" w:eastAsia="黑体" w:cs="黑体"/>
          <w:sz w:val="30"/>
          <w:szCs w:val="30"/>
          <w:u w:val="single"/>
          <w:lang w:val="zh-CN" w:bidi="zh-CN"/>
        </w:rPr>
        <w:t xml:space="preserve">         </w:t>
      </w:r>
      <w:r>
        <w:rPr>
          <w:rFonts w:hint="eastAsia" w:ascii="黑体" w:hAnsi="黑体" w:eastAsia="黑体" w:cs="黑体"/>
          <w:sz w:val="30"/>
          <w:szCs w:val="30"/>
          <w:u w:val="single"/>
          <w:lang w:val="en-US" w:bidi="zh-CN"/>
        </w:rPr>
        <w:t>刘昊宇</w:t>
      </w:r>
      <w:r>
        <w:rPr>
          <w:rFonts w:hint="eastAsia" w:ascii="黑体" w:hAnsi="黑体" w:eastAsia="黑体" w:cs="黑体"/>
          <w:sz w:val="30"/>
          <w:szCs w:val="30"/>
          <w:u w:val="single"/>
          <w:lang w:val="zh-CN" w:bidi="zh-CN"/>
        </w:rPr>
        <w:t xml:space="preserve">            </w:t>
      </w:r>
    </w:p>
    <w:p w14:paraId="7C99D6D4">
      <w:pPr>
        <w:autoSpaceDE w:val="0"/>
        <w:autoSpaceDN w:val="0"/>
        <w:spacing w:line="480" w:lineRule="auto"/>
        <w:ind w:firstLine="1800" w:firstLineChars="600"/>
        <w:jc w:val="left"/>
        <w:rPr>
          <w:rFonts w:hint="eastAsia" w:ascii="黑体" w:hAnsi="黑体" w:eastAsia="黑体" w:cs="PMingLiU"/>
          <w:sz w:val="30"/>
          <w:szCs w:val="30"/>
          <w:u w:val="single"/>
          <w:lang w:val="zh-CN" w:bidi="zh-CN"/>
        </w:rPr>
      </w:pPr>
      <w:r>
        <w:rPr>
          <w:rFonts w:hint="eastAsia" w:ascii="黑体" w:hAnsi="黑体" w:eastAsia="黑体" w:cs="PMingLiU"/>
          <w:sz w:val="30"/>
          <w:szCs w:val="30"/>
          <w:lang w:val="zh-CN" w:bidi="zh-CN"/>
        </w:rPr>
        <w:t>学    号：</w:t>
      </w:r>
      <w:r>
        <w:rPr>
          <w:rFonts w:hint="eastAsia" w:ascii="黑体" w:hAnsi="黑体" w:eastAsia="黑体" w:cs="黑体"/>
          <w:sz w:val="30"/>
          <w:szCs w:val="30"/>
          <w:u w:val="single"/>
          <w:lang w:val="zh-CN" w:bidi="zh-CN"/>
        </w:rPr>
        <w:t xml:space="preserve">         220130225         </w:t>
      </w:r>
    </w:p>
    <w:p w14:paraId="239E89D1">
      <w:pPr>
        <w:autoSpaceDE w:val="0"/>
        <w:autoSpaceDN w:val="0"/>
        <w:spacing w:line="480" w:lineRule="auto"/>
        <w:ind w:firstLine="1800" w:firstLineChars="600"/>
        <w:rPr>
          <w:rFonts w:hint="eastAsia" w:ascii="黑体" w:hAnsi="黑体" w:eastAsia="黑体" w:cs="PMingLiU"/>
          <w:sz w:val="30"/>
          <w:szCs w:val="30"/>
          <w:u w:val="single"/>
          <w:lang w:bidi="zh-CN"/>
        </w:rPr>
      </w:pPr>
      <w:r>
        <w:rPr>
          <w:rFonts w:hint="eastAsia" w:ascii="黑体" w:hAnsi="黑体" w:eastAsia="黑体" w:cs="PMingLiU"/>
          <w:sz w:val="30"/>
          <w:szCs w:val="30"/>
          <w:lang w:val="zh-CN" w:bidi="zh-CN"/>
        </w:rPr>
        <w:t>指导教师：</w:t>
      </w:r>
      <w:r>
        <w:rPr>
          <w:rFonts w:hint="eastAsia" w:ascii="黑体" w:hAnsi="黑体" w:eastAsia="黑体" w:cs="PMingLiU"/>
          <w:sz w:val="30"/>
          <w:szCs w:val="30"/>
          <w:u w:val="single"/>
          <w:lang w:bidi="zh-CN"/>
        </w:rPr>
        <w:t xml:space="preserve">          张毓芮           </w:t>
      </w:r>
    </w:p>
    <w:p w14:paraId="11AD48CA">
      <w:pPr>
        <w:autoSpaceDE w:val="0"/>
        <w:autoSpaceDN w:val="0"/>
        <w:jc w:val="center"/>
        <w:rPr>
          <w:rFonts w:hint="eastAsia" w:ascii="黑体" w:hAnsi="黑体" w:eastAsia="黑体" w:cs="PMingLiU"/>
          <w:sz w:val="32"/>
          <w:szCs w:val="32"/>
          <w:lang w:val="zh-CN" w:bidi="zh-CN"/>
        </w:rPr>
      </w:pPr>
    </w:p>
    <w:p w14:paraId="12A74009">
      <w:pPr>
        <w:autoSpaceDE w:val="0"/>
        <w:autoSpaceDN w:val="0"/>
        <w:jc w:val="center"/>
        <w:rPr>
          <w:rFonts w:hint="eastAsia" w:ascii="黑体" w:hAnsi="黑体" w:eastAsia="黑体" w:cs="PMingLiU"/>
          <w:sz w:val="32"/>
          <w:szCs w:val="32"/>
          <w:lang w:val="zh-CN" w:bidi="zh-CN"/>
        </w:rPr>
      </w:pPr>
    </w:p>
    <w:p w14:paraId="27DDF3B2">
      <w:pPr>
        <w:autoSpaceDE w:val="0"/>
        <w:autoSpaceDN w:val="0"/>
        <w:jc w:val="center"/>
        <w:rPr>
          <w:rFonts w:hint="eastAsia" w:ascii="黑体" w:hAnsi="黑体" w:eastAsia="黑体" w:cs="PMingLiU"/>
          <w:sz w:val="32"/>
          <w:szCs w:val="32"/>
          <w:lang w:val="zh-CN" w:bidi="zh-CN"/>
        </w:rPr>
      </w:pPr>
    </w:p>
    <w:p w14:paraId="36D7C35F">
      <w:pPr>
        <w:jc w:val="center"/>
        <w:rPr>
          <w:rFonts w:hint="eastAsia" w:ascii="黑体" w:hAnsi="黑体" w:eastAsia="黑体" w:cs="PMingLiU"/>
          <w:color w:val="FF0000"/>
          <w:sz w:val="32"/>
          <w:szCs w:val="32"/>
          <w:lang w:val="zh-CN" w:bidi="zh-CN"/>
        </w:rPr>
      </w:pPr>
    </w:p>
    <w:p w14:paraId="3A58502D">
      <w:pPr>
        <w:jc w:val="center"/>
        <w:rPr>
          <w:rFonts w:hint="eastAsia" w:ascii="黑体" w:hAnsi="黑体" w:eastAsia="黑体" w:cs="PMingLiU"/>
          <w:color w:val="000000" w:themeColor="text1"/>
          <w:sz w:val="32"/>
          <w:szCs w:val="32"/>
          <w:lang w:val="zh-CN" w:bidi="zh-CN"/>
          <w14:textFill>
            <w14:solidFill>
              <w14:schemeClr w14:val="tx1"/>
            </w14:solidFill>
          </w14:textFill>
        </w:rPr>
      </w:pPr>
    </w:p>
    <w:p w14:paraId="3342C6EA">
      <w:pPr>
        <w:jc w:val="center"/>
        <w:rPr>
          <w:rFonts w:hint="eastAsia" w:ascii="黑体" w:hAnsi="黑体" w:eastAsia="黑体" w:cs="PMingLiU"/>
          <w:sz w:val="32"/>
          <w:szCs w:val="32"/>
          <w:lang w:val="zh-CN" w:bidi="zh-CN"/>
        </w:rPr>
      </w:pPr>
      <w:r>
        <w:rPr>
          <w:rFonts w:hint="eastAsia" w:ascii="黑体" w:hAnsi="黑体" w:eastAsia="黑体" w:cs="PMingLiU"/>
          <w:color w:val="000000" w:themeColor="text1"/>
          <w:sz w:val="32"/>
          <w:szCs w:val="32"/>
          <w:lang w:val="zh-CN" w:bidi="zh-CN"/>
          <w14:textFill>
            <w14:solidFill>
              <w14:schemeClr w14:val="tx1"/>
            </w14:solidFill>
          </w14:textFill>
        </w:rPr>
        <w:t>二〇二</w:t>
      </w:r>
      <w:r>
        <w:rPr>
          <w:rFonts w:hint="eastAsia" w:ascii="黑体" w:hAnsi="黑体" w:eastAsia="黑体" w:cs="PMingLiU"/>
          <w:color w:val="000000" w:themeColor="text1"/>
          <w:sz w:val="32"/>
          <w:szCs w:val="32"/>
          <w:lang w:bidi="zh-CN"/>
          <w14:textFill>
            <w14:solidFill>
              <w14:schemeClr w14:val="tx1"/>
            </w14:solidFill>
          </w14:textFill>
        </w:rPr>
        <w:t>六</w:t>
      </w:r>
      <w:r>
        <w:rPr>
          <w:rFonts w:hint="eastAsia" w:ascii="黑体" w:hAnsi="黑体" w:eastAsia="黑体" w:cs="PMingLiU"/>
          <w:color w:val="000000" w:themeColor="text1"/>
          <w:sz w:val="32"/>
          <w:szCs w:val="32"/>
          <w:lang w:val="zh-CN" w:bidi="zh-CN"/>
          <w14:textFill>
            <w14:solidFill>
              <w14:schemeClr w14:val="tx1"/>
            </w14:solidFill>
          </w14:textFill>
        </w:rPr>
        <w:t>年</w:t>
      </w:r>
      <w:r>
        <w:rPr>
          <w:rFonts w:hint="eastAsia" w:ascii="黑体" w:hAnsi="黑体" w:eastAsia="黑体" w:cs="PMingLiU"/>
          <w:color w:val="000000" w:themeColor="text1"/>
          <w:sz w:val="32"/>
          <w:szCs w:val="32"/>
          <w:lang w:bidi="zh-CN"/>
          <w14:textFill>
            <w14:solidFill>
              <w14:schemeClr w14:val="tx1"/>
            </w14:solidFill>
          </w14:textFill>
        </w:rPr>
        <w:t>六</w:t>
      </w:r>
      <w:r>
        <w:rPr>
          <w:rFonts w:hint="eastAsia" w:ascii="黑体" w:hAnsi="黑体" w:eastAsia="黑体" w:cs="PMingLiU"/>
          <w:color w:val="000000" w:themeColor="text1"/>
          <w:sz w:val="32"/>
          <w:szCs w:val="32"/>
          <w:lang w:val="zh-CN" w:bidi="zh-CN"/>
          <w14:textFill>
            <w14:solidFill>
              <w14:schemeClr w14:val="tx1"/>
            </w14:solidFill>
          </w14:textFill>
        </w:rPr>
        <w:t>月</w:t>
      </w:r>
    </w:p>
    <w:p w14:paraId="50037181">
      <w:pPr>
        <w:spacing w:line="360" w:lineRule="auto"/>
        <w:rPr>
          <w:rFonts w:ascii="宋体" w:hAnsi="宋体"/>
        </w:rPr>
        <w:sectPr>
          <w:headerReference r:id="rId5" w:type="default"/>
          <w:headerReference r:id="rId6" w:type="even"/>
          <w:footerReference r:id="rId7" w:type="even"/>
          <w:pgSz w:w="11906" w:h="16838"/>
          <w:pgMar w:top="1985" w:right="1418" w:bottom="1418" w:left="1418" w:header="1418" w:footer="1134" w:gutter="0"/>
          <w:cols w:space="720" w:num="1"/>
          <w:docGrid w:linePitch="326" w:charSpace="-2048"/>
        </w:sectPr>
      </w:pPr>
    </w:p>
    <w:p w14:paraId="53072982">
      <w:pPr>
        <w:spacing w:after="220" w:line="360" w:lineRule="auto"/>
        <w:jc w:val="center"/>
        <w:rPr>
          <w:rFonts w:hint="eastAsia" w:ascii="华文细黑" w:hAnsi="华文细黑" w:eastAsia="华文细黑"/>
          <w:b/>
          <w:color w:val="000000"/>
          <w:sz w:val="44"/>
          <w:szCs w:val="44"/>
        </w:rPr>
      </w:pPr>
      <w:bookmarkStart w:id="0" w:name="_Toc105579304"/>
      <w:r>
        <w:rPr>
          <w:rFonts w:hint="eastAsia" w:ascii="华文细黑" w:hAnsi="华文细黑" w:eastAsia="华文细黑"/>
          <w:b/>
          <w:color w:val="000000"/>
          <w:sz w:val="44"/>
          <w:szCs w:val="44"/>
        </w:rPr>
        <w:t>原创性声明</w:t>
      </w:r>
    </w:p>
    <w:p w14:paraId="54D045AE">
      <w:pPr>
        <w:snapToGrid w:val="0"/>
        <w:ind w:firstLine="600" w:firstLineChars="200"/>
        <w:rPr>
          <w:rFonts w:hint="eastAsia" w:ascii="宋体" w:hAnsi="宋体"/>
          <w:color w:val="000000"/>
          <w:sz w:val="30"/>
          <w:szCs w:val="30"/>
        </w:rPr>
      </w:pPr>
      <w:r>
        <w:rPr>
          <w:rFonts w:hint="eastAsia" w:asciiTheme="minorEastAsia" w:hAnsiTheme="minorEastAsia" w:eastAsiaTheme="minorEastAsia" w:cstheme="minorEastAsia"/>
          <w:color w:val="000000"/>
          <w:sz w:val="30"/>
          <w:szCs w:val="30"/>
        </w:rPr>
        <w:t>本人郑重声明：本人所呈交的</w:t>
      </w:r>
      <w:r>
        <w:rPr>
          <w:rFonts w:hint="eastAsia" w:asciiTheme="minorEastAsia" w:hAnsiTheme="minorEastAsia" w:eastAsiaTheme="minorEastAsia" w:cstheme="minorEastAsia"/>
          <w:color w:val="000000"/>
          <w:sz w:val="30"/>
          <w:szCs w:val="30"/>
          <w:lang w:eastAsia="zh-CN"/>
        </w:rPr>
        <w:t>毕业设计</w:t>
      </w:r>
      <w:r>
        <w:rPr>
          <w:rFonts w:hint="eastAsia" w:asciiTheme="minorEastAsia" w:hAnsiTheme="minorEastAsia" w:eastAsiaTheme="minorEastAsia" w:cstheme="minorEastAsia"/>
          <w:color w:val="000000"/>
          <w:sz w:val="30"/>
          <w:szCs w:val="30"/>
        </w:rPr>
        <w:t>，是在指导老师的指导下独立进行研究所取得的成果。</w:t>
      </w:r>
      <w:r>
        <w:rPr>
          <w:rFonts w:hint="eastAsia" w:asciiTheme="minorEastAsia" w:hAnsiTheme="minorEastAsia" w:eastAsiaTheme="minorEastAsia" w:cstheme="minorEastAsia"/>
          <w:color w:val="000000"/>
          <w:sz w:val="30"/>
          <w:szCs w:val="30"/>
          <w:lang w:eastAsia="zh-CN"/>
        </w:rPr>
        <w:t>毕业设计</w:t>
      </w:r>
      <w:r>
        <w:rPr>
          <w:rFonts w:hint="eastAsia" w:asciiTheme="minorEastAsia" w:hAnsiTheme="minorEastAsia" w:eastAsiaTheme="minorEastAsia" w:cstheme="minorEastAsia"/>
          <w:color w:val="000000"/>
          <w:sz w:val="30"/>
          <w:szCs w:val="30"/>
        </w:rPr>
        <w:t>中凡引用他人已经发表或未发表的成果、数据、观点等，均已明确注明出处。除文中已经注明引用的内容外，不包含任何其他个人或集体已经发表或撰写过的科研成果。对本文的研究成果做出重要贡献的个人和集体，均已在文中以明确方式标明。</w:t>
      </w:r>
    </w:p>
    <w:p w14:paraId="550DFBCD">
      <w:pPr>
        <w:rPr>
          <w:rFonts w:hint="eastAsia" w:ascii="宋体" w:hAnsi="宋体"/>
          <w:color w:val="000000"/>
          <w:sz w:val="30"/>
          <w:szCs w:val="30"/>
        </w:rPr>
      </w:pPr>
    </w:p>
    <w:p w14:paraId="1481CE47">
      <w:pPr>
        <w:ind w:firstLine="600" w:firstLineChars="200"/>
        <w:rPr>
          <w:rFonts w:hint="eastAsia" w:ascii="宋体" w:hAnsi="宋体"/>
          <w:color w:val="000000"/>
          <w:sz w:val="30"/>
          <w:szCs w:val="30"/>
        </w:rPr>
      </w:pPr>
      <w:r>
        <w:rPr>
          <w:rFonts w:hint="eastAsia" w:ascii="宋体" w:hAnsi="宋体"/>
          <w:color w:val="000000"/>
          <w:sz w:val="30"/>
          <w:szCs w:val="30"/>
        </w:rPr>
        <w:t>本声明的法律责任由本人承担。</w:t>
      </w:r>
    </w:p>
    <w:p w14:paraId="52D3355C">
      <w:pPr>
        <w:rPr>
          <w:rFonts w:hint="eastAsia" w:ascii="宋体" w:hAnsi="宋体"/>
          <w:color w:val="000000"/>
          <w:sz w:val="30"/>
          <w:szCs w:val="30"/>
        </w:rPr>
      </w:pPr>
    </w:p>
    <w:p w14:paraId="0BB2F3C6">
      <w:pPr>
        <w:rPr>
          <w:rFonts w:hint="eastAsia" w:ascii="宋体" w:hAnsi="宋体"/>
          <w:color w:val="000000"/>
          <w:sz w:val="30"/>
          <w:szCs w:val="30"/>
        </w:rPr>
      </w:pPr>
    </w:p>
    <w:p w14:paraId="6B3EB53D">
      <w:pPr>
        <w:rPr>
          <w:rFonts w:hint="eastAsia" w:ascii="宋体" w:hAnsi="宋体"/>
          <w:color w:val="000000"/>
          <w:sz w:val="30"/>
          <w:szCs w:val="30"/>
        </w:rPr>
      </w:pPr>
      <w:r>
        <w:rPr>
          <w:rFonts w:hint="eastAsia" w:ascii="宋体" w:hAnsi="宋体"/>
          <w:color w:val="000000"/>
          <w:sz w:val="30"/>
          <w:szCs w:val="30"/>
        </w:rPr>
        <w:t>作者签名：</w:t>
      </w:r>
      <w:r>
        <w:rPr>
          <w:rFonts w:hint="eastAsia" w:ascii="宋体"/>
          <w:color w:val="000000"/>
          <w:sz w:val="30"/>
          <w:szCs w:val="30"/>
        </w:rPr>
        <w:t xml:space="preserve">                 </w:t>
      </w:r>
      <w:r>
        <w:rPr>
          <w:rFonts w:hint="eastAsia" w:ascii="宋体" w:hAnsi="宋体"/>
          <w:color w:val="000000"/>
          <w:sz w:val="30"/>
          <w:szCs w:val="30"/>
        </w:rPr>
        <w:t>日</w:t>
      </w:r>
      <w:r>
        <w:rPr>
          <w:rFonts w:hint="eastAsia" w:ascii="宋体"/>
          <w:color w:val="000000"/>
          <w:sz w:val="30"/>
          <w:szCs w:val="30"/>
        </w:rPr>
        <w:t xml:space="preserve">  </w:t>
      </w:r>
      <w:r>
        <w:rPr>
          <w:rFonts w:hint="eastAsia" w:ascii="宋体" w:hAnsi="宋体"/>
          <w:color w:val="000000"/>
          <w:sz w:val="30"/>
          <w:szCs w:val="30"/>
        </w:rPr>
        <w:t>期：</w:t>
      </w:r>
      <w:r>
        <w:rPr>
          <w:rFonts w:hint="eastAsia" w:ascii="宋体"/>
          <w:color w:val="000000"/>
          <w:sz w:val="30"/>
          <w:szCs w:val="30"/>
        </w:rPr>
        <w:t xml:space="preserve">                 </w:t>
      </w:r>
    </w:p>
    <w:p w14:paraId="5FBBDBD8">
      <w:pPr>
        <w:rPr>
          <w:rFonts w:ascii="宋体" w:hAnsi="宋体"/>
          <w:color w:val="000000"/>
          <w:sz w:val="30"/>
          <w:szCs w:val="30"/>
        </w:rPr>
      </w:pPr>
    </w:p>
    <w:p w14:paraId="44EDE2E2">
      <w:pPr>
        <w:rPr>
          <w:rFonts w:ascii="宋体" w:hAnsi="宋体"/>
          <w:color w:val="000000"/>
        </w:rPr>
      </w:pPr>
    </w:p>
    <w:p w14:paraId="7525C3C7">
      <w:pPr>
        <w:rPr>
          <w:rFonts w:ascii="宋体" w:hAnsi="宋体"/>
          <w:color w:val="000000"/>
        </w:rPr>
      </w:pPr>
    </w:p>
    <w:p w14:paraId="44D494AA">
      <w:pPr>
        <w:rPr>
          <w:rFonts w:ascii="宋体" w:hAnsi="宋体"/>
          <w:color w:val="000000"/>
        </w:rPr>
      </w:pPr>
    </w:p>
    <w:p w14:paraId="287DA946">
      <w:pPr>
        <w:spacing w:after="220" w:line="360" w:lineRule="auto"/>
        <w:jc w:val="center"/>
        <w:rPr>
          <w:rFonts w:ascii="宋体" w:hAnsi="宋体"/>
          <w:b/>
          <w:bCs/>
          <w:sz w:val="32"/>
          <w:szCs w:val="32"/>
        </w:rPr>
      </w:pPr>
    </w:p>
    <w:p w14:paraId="3CFABA46">
      <w:pPr>
        <w:spacing w:after="220" w:line="360" w:lineRule="auto"/>
        <w:jc w:val="center"/>
        <w:rPr>
          <w:rFonts w:ascii="宋体" w:hAnsi="宋体"/>
          <w:b/>
          <w:bCs/>
          <w:sz w:val="32"/>
          <w:szCs w:val="32"/>
        </w:rPr>
      </w:pPr>
    </w:p>
    <w:p w14:paraId="02520EB8">
      <w:pPr>
        <w:spacing w:after="220" w:line="360" w:lineRule="auto"/>
        <w:jc w:val="center"/>
        <w:rPr>
          <w:rFonts w:ascii="宋体" w:hAnsi="宋体"/>
          <w:b/>
          <w:bCs/>
          <w:sz w:val="32"/>
          <w:szCs w:val="32"/>
        </w:rPr>
      </w:pPr>
    </w:p>
    <w:p w14:paraId="5331B22F">
      <w:pPr>
        <w:spacing w:after="220" w:line="360" w:lineRule="auto"/>
        <w:jc w:val="center"/>
        <w:rPr>
          <w:rFonts w:ascii="宋体" w:hAnsi="宋体"/>
          <w:b/>
          <w:bCs/>
          <w:sz w:val="32"/>
          <w:szCs w:val="32"/>
        </w:rPr>
      </w:pPr>
    </w:p>
    <w:p w14:paraId="4443C335">
      <w:pPr>
        <w:spacing w:after="220" w:line="360" w:lineRule="auto"/>
        <w:jc w:val="center"/>
        <w:rPr>
          <w:rFonts w:ascii="宋体" w:hAnsi="宋体"/>
          <w:b/>
          <w:bCs/>
          <w:sz w:val="32"/>
          <w:szCs w:val="32"/>
        </w:rPr>
      </w:pPr>
    </w:p>
    <w:p w14:paraId="676DD5BB">
      <w:pPr>
        <w:spacing w:after="220" w:line="360" w:lineRule="auto"/>
        <w:jc w:val="center"/>
        <w:rPr>
          <w:rFonts w:ascii="宋体" w:hAnsi="宋体"/>
          <w:b/>
          <w:bCs/>
          <w:sz w:val="32"/>
          <w:szCs w:val="32"/>
        </w:rPr>
      </w:pPr>
    </w:p>
    <w:p w14:paraId="3FA48DAE">
      <w:pPr>
        <w:spacing w:after="220" w:line="360" w:lineRule="auto"/>
        <w:jc w:val="center"/>
        <w:rPr>
          <w:rFonts w:hint="eastAsia" w:ascii="华文细黑" w:hAnsi="华文细黑" w:eastAsia="华文细黑"/>
          <w:b/>
          <w:color w:val="000000"/>
          <w:sz w:val="44"/>
          <w:szCs w:val="44"/>
        </w:rPr>
      </w:pPr>
      <w:r>
        <w:rPr>
          <w:rFonts w:hint="eastAsia" w:ascii="华文细黑" w:hAnsi="华文细黑" w:eastAsia="华文细黑"/>
          <w:b/>
          <w:color w:val="000000"/>
          <w:sz w:val="44"/>
          <w:szCs w:val="44"/>
        </w:rPr>
        <w:t>关于使用授权的声明</w:t>
      </w:r>
    </w:p>
    <w:p w14:paraId="26DC1DCF">
      <w:pPr>
        <w:snapToGrid w:val="0"/>
        <w:ind w:firstLine="600" w:firstLineChars="200"/>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本人在指导老师指导下所完成的</w:t>
      </w:r>
      <w:r>
        <w:rPr>
          <w:rFonts w:hint="eastAsia" w:asciiTheme="minorEastAsia" w:hAnsiTheme="minorEastAsia" w:eastAsiaTheme="minorEastAsia" w:cstheme="minorEastAsia"/>
          <w:color w:val="000000"/>
          <w:sz w:val="30"/>
          <w:szCs w:val="30"/>
          <w:lang w:eastAsia="zh-CN"/>
        </w:rPr>
        <w:t>毕业设计</w:t>
      </w:r>
      <w:r>
        <w:rPr>
          <w:rFonts w:hint="eastAsia" w:asciiTheme="minorEastAsia" w:hAnsiTheme="minorEastAsia" w:eastAsiaTheme="minorEastAsia" w:cstheme="minorEastAsia"/>
          <w:color w:val="000000"/>
          <w:sz w:val="30"/>
          <w:szCs w:val="30"/>
        </w:rPr>
        <w:t>及相关资料（包括图纸、试验记录、原始数据、实物照片、图片、设计手稿等），知识产权归属吉林建筑科技学院。本人完全了解吉林建筑科技学院有关保存、使用</w:t>
      </w:r>
      <w:r>
        <w:rPr>
          <w:rFonts w:hint="eastAsia" w:asciiTheme="minorEastAsia" w:hAnsiTheme="minorEastAsia" w:eastAsiaTheme="minorEastAsia" w:cstheme="minorEastAsia"/>
          <w:color w:val="000000"/>
          <w:sz w:val="30"/>
          <w:szCs w:val="30"/>
          <w:lang w:eastAsia="zh-CN"/>
        </w:rPr>
        <w:t>毕业设计</w:t>
      </w:r>
      <w:r>
        <w:rPr>
          <w:rFonts w:hint="eastAsia" w:asciiTheme="minorEastAsia" w:hAnsiTheme="minorEastAsia" w:eastAsiaTheme="minorEastAsia" w:cstheme="minorEastAsia"/>
          <w:color w:val="000000"/>
          <w:sz w:val="30"/>
          <w:szCs w:val="30"/>
        </w:rPr>
        <w:t>的规定，本人授权吉林建筑科技学院可以将本</w:t>
      </w:r>
      <w:r>
        <w:rPr>
          <w:rFonts w:hint="eastAsia" w:asciiTheme="minorEastAsia" w:hAnsiTheme="minorEastAsia" w:eastAsiaTheme="minorEastAsia" w:cstheme="minorEastAsia"/>
          <w:color w:val="000000"/>
          <w:sz w:val="30"/>
          <w:szCs w:val="30"/>
          <w:lang w:eastAsia="zh-CN"/>
        </w:rPr>
        <w:t>毕业设计</w:t>
      </w:r>
      <w:r>
        <w:rPr>
          <w:rFonts w:hint="eastAsia" w:asciiTheme="minorEastAsia" w:hAnsiTheme="minorEastAsia" w:eastAsiaTheme="minorEastAsia" w:cstheme="minorEastAsia"/>
          <w:color w:val="000000"/>
          <w:sz w:val="30"/>
          <w:szCs w:val="30"/>
        </w:rPr>
        <w:t>的全部或部分内容编入有关数据库进行检索，可以采用任何复制手段保存和汇编本</w:t>
      </w:r>
      <w:r>
        <w:rPr>
          <w:rFonts w:hint="eastAsia" w:asciiTheme="minorEastAsia" w:hAnsiTheme="minorEastAsia" w:eastAsiaTheme="minorEastAsia" w:cstheme="minorEastAsia"/>
          <w:color w:val="000000"/>
          <w:sz w:val="30"/>
          <w:szCs w:val="30"/>
          <w:lang w:eastAsia="zh-CN"/>
        </w:rPr>
        <w:t>毕业设计</w:t>
      </w:r>
      <w:r>
        <w:rPr>
          <w:rFonts w:hint="eastAsia" w:asciiTheme="minorEastAsia" w:hAnsiTheme="minorEastAsia" w:eastAsiaTheme="minorEastAsia" w:cstheme="minorEastAsia"/>
          <w:color w:val="000000"/>
          <w:sz w:val="30"/>
          <w:szCs w:val="30"/>
        </w:rPr>
        <w:t>。如果发表相关成果，一定征得指导教师同意，且第一署名单位为吉林建筑科技学院。本人离校后使用</w:t>
      </w:r>
      <w:r>
        <w:rPr>
          <w:rFonts w:hint="eastAsia" w:asciiTheme="minorEastAsia" w:hAnsiTheme="minorEastAsia" w:eastAsiaTheme="minorEastAsia" w:cstheme="minorEastAsia"/>
          <w:color w:val="000000"/>
          <w:sz w:val="30"/>
          <w:szCs w:val="30"/>
          <w:lang w:eastAsia="zh-CN"/>
        </w:rPr>
        <w:t>毕业设计</w:t>
      </w:r>
      <w:r>
        <w:rPr>
          <w:rFonts w:hint="eastAsia" w:asciiTheme="minorEastAsia" w:hAnsiTheme="minorEastAsia" w:eastAsiaTheme="minorEastAsia" w:cstheme="minorEastAsia"/>
          <w:color w:val="000000"/>
          <w:sz w:val="30"/>
          <w:szCs w:val="30"/>
        </w:rPr>
        <w:t>或与该论文直接相关的学术论文或成果时，第一署名单位仍然为吉林建筑科技学院。</w:t>
      </w:r>
    </w:p>
    <w:p w14:paraId="6570609E">
      <w:pPr>
        <w:rPr>
          <w:rFonts w:hint="eastAsia" w:ascii="宋体" w:hAnsi="宋体"/>
          <w:color w:val="000000"/>
          <w:sz w:val="30"/>
          <w:szCs w:val="30"/>
        </w:rPr>
      </w:pPr>
    </w:p>
    <w:p w14:paraId="2337861C">
      <w:pPr>
        <w:rPr>
          <w:rFonts w:hint="eastAsia" w:ascii="宋体" w:hAnsi="宋体"/>
          <w:color w:val="000000"/>
          <w:sz w:val="30"/>
          <w:szCs w:val="30"/>
        </w:rPr>
      </w:pPr>
    </w:p>
    <w:p w14:paraId="2420AB8D">
      <w:pPr>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 xml:space="preserve">作者签名：                      日  期：                </w:t>
      </w:r>
    </w:p>
    <w:p w14:paraId="14620FB9">
      <w:pPr>
        <w:rPr>
          <w:rFonts w:hint="eastAsia" w:asciiTheme="minorEastAsia" w:hAnsiTheme="minorEastAsia" w:eastAsiaTheme="minorEastAsia" w:cstheme="minorEastAsia"/>
          <w:color w:val="000000"/>
          <w:sz w:val="30"/>
          <w:szCs w:val="30"/>
        </w:rPr>
      </w:pPr>
      <w:r>
        <w:rPr>
          <w:rFonts w:hint="eastAsia" w:asciiTheme="minorEastAsia" w:hAnsiTheme="minorEastAsia" w:eastAsiaTheme="minorEastAsia" w:cstheme="minorEastAsia"/>
          <w:color w:val="000000"/>
          <w:sz w:val="30"/>
          <w:szCs w:val="30"/>
        </w:rPr>
        <w:t xml:space="preserve">指导老师签名：                  日  期：                </w:t>
      </w:r>
    </w:p>
    <w:p w14:paraId="1101FB56">
      <w:pPr>
        <w:spacing w:line="360" w:lineRule="auto"/>
        <w:jc w:val="center"/>
        <w:rPr>
          <w:rFonts w:ascii="宋体" w:hAnsi="宋体"/>
        </w:rPr>
      </w:pPr>
    </w:p>
    <w:p w14:paraId="1413BE87">
      <w:pPr>
        <w:spacing w:line="360" w:lineRule="auto"/>
        <w:jc w:val="center"/>
        <w:rPr>
          <w:rFonts w:ascii="宋体" w:hAnsi="宋体"/>
        </w:rPr>
      </w:pPr>
    </w:p>
    <w:p w14:paraId="26838D03">
      <w:pPr>
        <w:spacing w:line="360" w:lineRule="auto"/>
        <w:jc w:val="center"/>
        <w:rPr>
          <w:rFonts w:ascii="宋体" w:hAnsi="宋体"/>
        </w:rPr>
        <w:sectPr>
          <w:headerReference r:id="rId8" w:type="default"/>
          <w:pgSz w:w="11906" w:h="16838"/>
          <w:pgMar w:top="1985" w:right="1418" w:bottom="1418" w:left="1418" w:header="1418" w:footer="1134" w:gutter="0"/>
          <w:cols w:space="720" w:num="1"/>
          <w:docGrid w:linePitch="326" w:charSpace="-2048"/>
        </w:sectPr>
      </w:pPr>
    </w:p>
    <w:p w14:paraId="0711C4BB">
      <w:pPr>
        <w:pStyle w:val="2"/>
        <w:jc w:val="center"/>
      </w:pPr>
      <w:bookmarkStart w:id="1" w:name="_Toc3794"/>
      <w:bookmarkStart w:id="2" w:name="_Toc4118"/>
      <w:bookmarkStart w:id="3" w:name="_Toc26710249"/>
      <w:bookmarkStart w:id="4" w:name="_Toc23714"/>
      <w:bookmarkStart w:id="5" w:name="_Toc19657"/>
      <w:r>
        <w:rPr>
          <w:rFonts w:hint="eastAsia"/>
        </w:rPr>
        <w:t>摘    要</w:t>
      </w:r>
      <w:bookmarkEnd w:id="0"/>
      <w:bookmarkEnd w:id="1"/>
      <w:bookmarkEnd w:id="2"/>
      <w:bookmarkEnd w:id="3"/>
      <w:bookmarkEnd w:id="4"/>
      <w:bookmarkEnd w:id="5"/>
    </w:p>
    <w:p w14:paraId="6336C862">
      <w:pPr>
        <w:ind w:firstLine="480" w:firstLineChars="200"/>
        <w:rPr>
          <w:rFonts w:ascii="宋体" w:hAnsi="宋体"/>
        </w:rPr>
      </w:pPr>
      <w:r>
        <w:rPr>
          <w:rFonts w:hint="eastAsia" w:ascii="宋体" w:hAnsi="宋体"/>
        </w:rPr>
        <w:t>摘要是</w:t>
      </w:r>
      <w:r>
        <w:rPr>
          <w:rFonts w:hint="eastAsia" w:ascii="宋体" w:hAnsi="宋体"/>
          <w:lang w:eastAsia="zh-CN"/>
        </w:rPr>
        <w:t>毕业设计</w:t>
      </w:r>
      <w:r>
        <w:rPr>
          <w:rFonts w:hint="eastAsia" w:ascii="宋体" w:hAnsi="宋体"/>
        </w:rPr>
        <w:t>的缩影，文字要简练、明确。内容要包括目的、方法、结果和结论。单位采用国际标准计量单位制，除特别情况外，数字一律用阿拉伯数字。文中不允许出现插图。重要的表格可以插入。</w:t>
      </w:r>
    </w:p>
    <w:p w14:paraId="1F72106D">
      <w:pPr>
        <w:ind w:firstLine="480" w:firstLineChars="200"/>
        <w:rPr>
          <w:rFonts w:ascii="宋体" w:hAnsi="宋体"/>
          <w:color w:val="FF0000"/>
        </w:rPr>
      </w:pPr>
      <w:r>
        <w:rPr>
          <w:rFonts w:hint="eastAsia" w:ascii="宋体" w:hAnsi="宋体"/>
        </w:rPr>
        <w:t>摘要篇幅以一页为限，字数为300-500字之间。</w:t>
      </w:r>
    </w:p>
    <w:p w14:paraId="1F21E802">
      <w:pPr>
        <w:rPr>
          <w:rFonts w:ascii="宋体" w:hAnsi="宋体"/>
        </w:rPr>
      </w:pPr>
    </w:p>
    <w:p w14:paraId="72CE5802">
      <w:pPr>
        <w:rPr>
          <w:rFonts w:ascii="黑体" w:eastAsia="黑体"/>
          <w:b/>
        </w:rPr>
      </w:pPr>
      <w:r>
        <w:rPr>
          <w:rStyle w:val="32"/>
          <w:rFonts w:hint="eastAsia"/>
          <w:b/>
        </w:rPr>
        <w:t>关键词：</w:t>
      </w:r>
      <w:r>
        <w:rPr>
          <w:rStyle w:val="34"/>
          <w:rFonts w:hint="eastAsia" w:ascii="黑体" w:hAnsi="黑体" w:eastAsia="黑体"/>
          <w:b/>
        </w:rPr>
        <w:t>xxx；xxx；xxx</w:t>
      </w:r>
    </w:p>
    <w:p w14:paraId="740AB619">
      <w:pPr>
        <w:rPr>
          <w:rFonts w:ascii="宋体" w:hAnsi="宋体"/>
        </w:rPr>
      </w:pPr>
    </w:p>
    <w:p w14:paraId="35456B56">
      <w:pPr>
        <w:rPr>
          <w:rFonts w:ascii="宋体" w:hAnsi="宋体"/>
        </w:rPr>
      </w:pPr>
    </w:p>
    <w:p w14:paraId="07A9A94F">
      <w:pPr>
        <w:rPr>
          <w:rFonts w:ascii="宋体" w:hAnsi="宋体"/>
        </w:rPr>
      </w:pPr>
    </w:p>
    <w:p w14:paraId="3AEC0F15">
      <w:pPr>
        <w:rPr>
          <w:rFonts w:ascii="宋体" w:hAnsi="宋体"/>
        </w:rPr>
      </w:pPr>
    </w:p>
    <w:p w14:paraId="62453A4D">
      <w:pPr>
        <w:rPr>
          <w:rFonts w:ascii="宋体" w:hAnsi="宋体"/>
        </w:rPr>
      </w:pPr>
    </w:p>
    <w:p w14:paraId="5984F271">
      <w:pPr>
        <w:rPr>
          <w:rFonts w:ascii="宋体" w:hAnsi="宋体"/>
        </w:rPr>
      </w:pPr>
    </w:p>
    <w:p w14:paraId="71FE756E">
      <w:pPr>
        <w:rPr>
          <w:rFonts w:ascii="宋体" w:hAnsi="宋体"/>
        </w:rPr>
      </w:pPr>
    </w:p>
    <w:p w14:paraId="281973E0">
      <w:pPr>
        <w:rPr>
          <w:rFonts w:ascii="宋体" w:hAnsi="宋体"/>
        </w:rPr>
      </w:pPr>
    </w:p>
    <w:p w14:paraId="111FF965">
      <w:pPr>
        <w:rPr>
          <w:rFonts w:ascii="宋体" w:hAnsi="宋体"/>
        </w:rPr>
      </w:pPr>
    </w:p>
    <w:p w14:paraId="4FB7EDFA">
      <w:pPr>
        <w:rPr>
          <w:rFonts w:ascii="宋体" w:hAnsi="宋体"/>
        </w:rPr>
      </w:pPr>
    </w:p>
    <w:p w14:paraId="405F1502">
      <w:pPr>
        <w:rPr>
          <w:rFonts w:ascii="宋体" w:hAnsi="宋体"/>
        </w:rPr>
      </w:pPr>
    </w:p>
    <w:p w14:paraId="64B62A13">
      <w:pPr>
        <w:rPr>
          <w:rFonts w:ascii="宋体" w:hAnsi="宋体"/>
        </w:rPr>
      </w:pPr>
    </w:p>
    <w:p w14:paraId="7F766A83">
      <w:pPr>
        <w:rPr>
          <w:rFonts w:ascii="宋体" w:hAnsi="宋体"/>
        </w:rPr>
      </w:pPr>
    </w:p>
    <w:p w14:paraId="2C5B2238">
      <w:pPr>
        <w:rPr>
          <w:rFonts w:ascii="宋体" w:hAnsi="宋体"/>
        </w:rPr>
      </w:pPr>
    </w:p>
    <w:p w14:paraId="0A4ACB7A">
      <w:pPr>
        <w:rPr>
          <w:rFonts w:ascii="宋体" w:hAnsi="宋体"/>
        </w:rPr>
      </w:pPr>
    </w:p>
    <w:p w14:paraId="79F8BAEA">
      <w:pPr>
        <w:rPr>
          <w:rFonts w:ascii="宋体" w:hAnsi="宋体"/>
        </w:rPr>
      </w:pPr>
    </w:p>
    <w:p w14:paraId="1422D5B6">
      <w:pPr>
        <w:rPr>
          <w:rFonts w:ascii="宋体" w:hAnsi="宋体"/>
        </w:rPr>
      </w:pPr>
    </w:p>
    <w:p w14:paraId="2F550BBC">
      <w:pPr>
        <w:rPr>
          <w:rFonts w:ascii="宋体" w:hAnsi="宋体"/>
        </w:rPr>
      </w:pPr>
    </w:p>
    <w:p w14:paraId="32A66C6E">
      <w:pPr>
        <w:rPr>
          <w:rFonts w:ascii="宋体" w:hAnsi="宋体"/>
        </w:rPr>
      </w:pPr>
    </w:p>
    <w:p w14:paraId="685A70A5">
      <w:pPr>
        <w:rPr>
          <w:rFonts w:ascii="宋体" w:hAnsi="宋体"/>
        </w:rPr>
      </w:pPr>
    </w:p>
    <w:p w14:paraId="46E5A5D2">
      <w:pPr>
        <w:rPr>
          <w:rFonts w:ascii="宋体" w:hAnsi="宋体"/>
        </w:rPr>
      </w:pPr>
    </w:p>
    <w:p w14:paraId="6F2E8CAC">
      <w:pPr>
        <w:rPr>
          <w:rFonts w:ascii="宋体" w:hAnsi="宋体"/>
        </w:rPr>
      </w:pPr>
    </w:p>
    <w:p w14:paraId="7C75A35C">
      <w:pPr>
        <w:rPr>
          <w:rFonts w:ascii="宋体" w:hAnsi="宋体"/>
        </w:rPr>
      </w:pPr>
    </w:p>
    <w:p w14:paraId="6EBA9533">
      <w:pPr>
        <w:rPr>
          <w:rFonts w:ascii="宋体" w:hAnsi="宋体"/>
        </w:rPr>
      </w:pPr>
    </w:p>
    <w:p w14:paraId="307B0C19">
      <w:pPr>
        <w:rPr>
          <w:rFonts w:ascii="宋体" w:hAnsi="宋体"/>
        </w:rPr>
        <w:sectPr>
          <w:headerReference r:id="rId11" w:type="first"/>
          <w:footerReference r:id="rId14" w:type="first"/>
          <w:headerReference r:id="rId9" w:type="default"/>
          <w:footerReference r:id="rId12" w:type="default"/>
          <w:headerReference r:id="rId10" w:type="even"/>
          <w:footerReference r:id="rId13" w:type="even"/>
          <w:pgSz w:w="11906" w:h="16838"/>
          <w:pgMar w:top="1985" w:right="1418" w:bottom="1418" w:left="1418" w:header="1418" w:footer="1134" w:gutter="0"/>
          <w:pgNumType w:fmt="upperRoman" w:start="1"/>
          <w:cols w:space="720" w:num="1"/>
          <w:docGrid w:linePitch="326" w:charSpace="-2048"/>
        </w:sectPr>
      </w:pPr>
    </w:p>
    <w:p w14:paraId="0BEEE8B6">
      <w:pPr>
        <w:pStyle w:val="2"/>
        <w:jc w:val="center"/>
        <w:rPr>
          <w:b/>
          <w:color w:val="000000"/>
        </w:rPr>
      </w:pPr>
      <w:bookmarkStart w:id="6" w:name="_Toc26710250"/>
      <w:bookmarkStart w:id="7" w:name="_Toc15432"/>
      <w:bookmarkStart w:id="8" w:name="_Toc5706"/>
      <w:r>
        <w:rPr>
          <w:rFonts w:ascii="宋体" w:hAnsi="宋体"/>
          <w:b/>
          <w:bCs w:val="0"/>
        </w:rPr>
        <w:t>Abstract</w:t>
      </w:r>
      <w:bookmarkEnd w:id="6"/>
      <w:bookmarkEnd w:id="7"/>
      <w:bookmarkEnd w:id="8"/>
    </w:p>
    <w:p w14:paraId="67623F58">
      <w:pPr>
        <w:ind w:firstLine="480" w:firstLineChars="200"/>
        <w:rPr>
          <w:rFonts w:ascii="宋体" w:hAnsi="宋体"/>
        </w:rPr>
      </w:pPr>
      <w:r>
        <w:rPr>
          <w:rFonts w:hint="eastAsia" w:ascii="宋体" w:hAnsi="宋体"/>
        </w:rPr>
        <w:t>外文摘要要求用英文书写，内容应与“中文摘要”对应。使用第三人称，最好采用现在时态编写。</w:t>
      </w:r>
    </w:p>
    <w:p w14:paraId="409A73C9">
      <w:pPr>
        <w:rPr>
          <w:rFonts w:ascii="宋体" w:hAnsi="宋体"/>
        </w:rPr>
      </w:pPr>
    </w:p>
    <w:p w14:paraId="6CD2779A">
      <w:pPr>
        <w:rPr>
          <w:rStyle w:val="41"/>
          <w:b/>
          <w:lang w:eastAsia="zh-CN"/>
        </w:rPr>
      </w:pPr>
      <w:r>
        <w:rPr>
          <w:rFonts w:ascii="宋体" w:hAnsi="宋体"/>
          <w:b/>
        </w:rPr>
        <w:t>K</w:t>
      </w:r>
      <w:r>
        <w:rPr>
          <w:rFonts w:hint="eastAsia" w:ascii="宋体" w:hAnsi="宋体"/>
          <w:b/>
        </w:rPr>
        <w:t>eywords：xxx；xxx；xxx</w:t>
      </w:r>
    </w:p>
    <w:p w14:paraId="61434B53">
      <w:pPr>
        <w:rPr>
          <w:rFonts w:ascii="宋体" w:hAnsi="宋体"/>
        </w:rPr>
      </w:pPr>
    </w:p>
    <w:p w14:paraId="6DAD9D12">
      <w:pPr>
        <w:rPr>
          <w:rFonts w:ascii="宋体" w:hAnsi="宋体"/>
        </w:rPr>
      </w:pPr>
    </w:p>
    <w:p w14:paraId="370E6681">
      <w:pPr>
        <w:jc w:val="center"/>
        <w:rPr>
          <w:rFonts w:ascii="宋体" w:hAnsi="宋体"/>
        </w:rPr>
        <w:sectPr>
          <w:headerReference r:id="rId15" w:type="default"/>
          <w:footerReference r:id="rId16" w:type="default"/>
          <w:pgSz w:w="11906" w:h="16838"/>
          <w:pgMar w:top="1985" w:right="1418" w:bottom="1418" w:left="1418" w:header="1418" w:footer="1134" w:gutter="0"/>
          <w:pgNumType w:fmt="upperRoman"/>
          <w:cols w:space="720" w:num="1"/>
          <w:docGrid w:linePitch="326" w:charSpace="-2048"/>
        </w:sectPr>
      </w:pPr>
    </w:p>
    <w:sdt>
      <w:sdtPr>
        <w:rPr>
          <w:rFonts w:hint="eastAsia" w:ascii="宋体" w:hAnsi="宋体" w:eastAsia="宋体" w:cs="宋体"/>
          <w:b/>
          <w:bCs/>
          <w:kern w:val="2"/>
          <w:sz w:val="32"/>
          <w:szCs w:val="32"/>
          <w:lang w:val="en-US" w:eastAsia="zh-CN" w:bidi="ar-SA"/>
        </w:rPr>
        <w:id w:val="147474428"/>
        <w15:color w:val="DBDBDB"/>
        <w:docPartObj>
          <w:docPartGallery w:val="Table of Contents"/>
          <w:docPartUnique/>
        </w:docPartObj>
      </w:sdtPr>
      <w:sdtEndPr>
        <w:rPr>
          <w:rFonts w:hint="eastAsia" w:ascii="宋体" w:hAnsi="宋体" w:eastAsia="宋体" w:cs="Times New Roman"/>
          <w:b/>
          <w:bCs/>
          <w:kern w:val="2"/>
          <w:sz w:val="24"/>
          <w:szCs w:val="32"/>
          <w:lang w:val="en-US" w:eastAsia="zh-CN" w:bidi="ar-SA"/>
        </w:rPr>
      </w:sdtEndPr>
      <w:sdtContent>
        <w:p w14:paraId="60339A55">
          <w:pPr>
            <w:widowControl w:val="0"/>
            <w:spacing w:line="720" w:lineRule="auto"/>
            <w:jc w:val="center"/>
            <w:rPr>
              <w:rFonts w:hint="eastAsia" w:ascii="宋体" w:hAnsi="宋体" w:eastAsia="宋体" w:cs="宋体"/>
              <w:b/>
              <w:bCs/>
              <w:kern w:val="2"/>
              <w:sz w:val="32"/>
              <w:szCs w:val="32"/>
            </w:rPr>
          </w:pPr>
          <w:bookmarkStart w:id="9" w:name="_Toc32560"/>
          <w:bookmarkStart w:id="10" w:name="_Toc11864"/>
          <w:r>
            <w:rPr>
              <w:rFonts w:hint="eastAsia" w:ascii="宋体" w:hAnsi="宋体" w:eastAsia="宋体" w:cs="宋体"/>
              <w:b/>
              <w:bCs/>
              <w:kern w:val="2"/>
              <w:sz w:val="32"/>
              <w:szCs w:val="32"/>
            </w:rPr>
            <w:t>目  录</w:t>
          </w:r>
          <w:bookmarkEnd w:id="9"/>
          <w:bookmarkEnd w:id="10"/>
        </w:p>
        <w:p w14:paraId="174924FA">
          <w:pPr>
            <w:pStyle w:val="16"/>
            <w:tabs>
              <w:tab w:val="right" w:leader="dot" w:pos="8788"/>
            </w:tabs>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TOC \o "1-3" \h \u </w:instrText>
          </w:r>
          <w:r>
            <w:rPr>
              <w:rFonts w:ascii="宋体" w:hAnsi="宋体" w:eastAsia="宋体" w:cs="Times New Roman"/>
              <w:kern w:val="2"/>
              <w:sz w:val="24"/>
              <w:szCs w:val="24"/>
              <w:lang w:val="en-US" w:eastAsia="zh-CN" w:bidi="ar-SA"/>
            </w:rPr>
            <w:fldChar w:fldCharType="separate"/>
          </w:r>
          <w:r>
            <w:rPr>
              <w:rFonts w:ascii="宋体" w:hAnsi="宋体" w:eastAsia="宋体" w:cs="Times New Roman"/>
              <w:kern w:val="2"/>
              <w:szCs w:val="24"/>
              <w:lang w:val="en-US" w:eastAsia="zh-CN" w:bidi="ar-SA"/>
            </w:rPr>
            <w:fldChar w:fldCharType="begin"/>
          </w:r>
          <w:r>
            <w:rPr>
              <w:rFonts w:ascii="宋体" w:hAnsi="宋体" w:eastAsia="宋体" w:cs="Times New Roman"/>
              <w:kern w:val="2"/>
              <w:szCs w:val="24"/>
              <w:lang w:val="en-US" w:eastAsia="zh-CN" w:bidi="ar-SA"/>
            </w:rPr>
            <w:instrText xml:space="preserve"> HYPERLINK \l _Toc3794 </w:instrText>
          </w:r>
          <w:r>
            <w:rPr>
              <w:rFonts w:ascii="宋体" w:hAnsi="宋体" w:eastAsia="宋体" w:cs="Times New Roman"/>
              <w:kern w:val="2"/>
              <w:szCs w:val="24"/>
              <w:lang w:val="en-US" w:eastAsia="zh-CN" w:bidi="ar-SA"/>
            </w:rPr>
            <w:fldChar w:fldCharType="separate"/>
          </w:r>
          <w:r>
            <w:rPr>
              <w:rFonts w:hint="eastAsia"/>
            </w:rPr>
            <w:t>摘    要</w:t>
          </w:r>
          <w:r>
            <w:tab/>
          </w:r>
          <w:r>
            <w:fldChar w:fldCharType="begin"/>
          </w:r>
          <w:r>
            <w:instrText xml:space="preserve"> PAGEREF _Toc3794 \h </w:instrText>
          </w:r>
          <w:r>
            <w:fldChar w:fldCharType="separate"/>
          </w:r>
          <w:r>
            <w:t>I</w:t>
          </w:r>
          <w:r>
            <w:fldChar w:fldCharType="end"/>
          </w:r>
          <w:r>
            <w:rPr>
              <w:rFonts w:ascii="宋体" w:hAnsi="宋体" w:eastAsia="宋体" w:cs="Times New Roman"/>
              <w:kern w:val="2"/>
              <w:szCs w:val="24"/>
              <w:lang w:val="en-US" w:eastAsia="zh-CN" w:bidi="ar-SA"/>
            </w:rPr>
            <w:fldChar w:fldCharType="end"/>
          </w:r>
        </w:p>
        <w:p w14:paraId="0B6D2E1E">
          <w:pPr>
            <w:pStyle w:val="16"/>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_Toc15432 </w:instrText>
          </w:r>
          <w:r>
            <w:rPr>
              <w:rFonts w:ascii="宋体" w:hAnsi="宋体" w:eastAsia="宋体" w:cs="Times New Roman"/>
              <w:kern w:val="2"/>
            </w:rPr>
            <w:fldChar w:fldCharType="separate"/>
          </w:r>
          <w:r>
            <w:rPr>
              <w:rFonts w:ascii="宋体" w:hAnsi="宋体"/>
              <w:bCs w:val="0"/>
            </w:rPr>
            <w:t>Abstract</w:t>
          </w:r>
          <w:r>
            <w:tab/>
          </w:r>
          <w:r>
            <w:fldChar w:fldCharType="begin"/>
          </w:r>
          <w:r>
            <w:instrText xml:space="preserve"> PAGEREF _Toc15432 \h </w:instrText>
          </w:r>
          <w:r>
            <w:fldChar w:fldCharType="separate"/>
          </w:r>
          <w:r>
            <w:t>III</w:t>
          </w:r>
          <w:r>
            <w:fldChar w:fldCharType="end"/>
          </w:r>
          <w:r>
            <w:rPr>
              <w:rFonts w:ascii="宋体" w:hAnsi="宋体" w:eastAsia="宋体" w:cs="Times New Roman"/>
              <w:kern w:val="2"/>
            </w:rPr>
            <w:fldChar w:fldCharType="end"/>
          </w:r>
        </w:p>
        <w:p w14:paraId="49A14CD3">
          <w:pPr>
            <w:pStyle w:val="16"/>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_Toc5473 </w:instrText>
          </w:r>
          <w:r>
            <w:rPr>
              <w:rFonts w:ascii="宋体" w:hAnsi="宋体" w:eastAsia="宋体" w:cs="Times New Roman"/>
              <w:kern w:val="2"/>
            </w:rPr>
            <w:fldChar w:fldCharType="separate"/>
          </w:r>
          <w:r>
            <w:rPr>
              <w:rFonts w:hint="eastAsia" w:ascii="宋体" w:hAnsi="宋体" w:eastAsia="宋体" w:cs="宋体"/>
              <w:bCs/>
              <w:spacing w:val="1"/>
              <w:kern w:val="2"/>
              <w:szCs w:val="32"/>
              <w:lang w:val="en-US" w:eastAsia="zh-CN" w:bidi="ar-SA"/>
            </w:rPr>
            <w:t>引  言</w:t>
          </w:r>
          <w:r>
            <w:tab/>
          </w:r>
          <w:r>
            <w:fldChar w:fldCharType="begin"/>
          </w:r>
          <w:r>
            <w:instrText xml:space="preserve"> PAGEREF _Toc5473 \h </w:instrText>
          </w:r>
          <w:r>
            <w:fldChar w:fldCharType="separate"/>
          </w:r>
          <w:r>
            <w:t>7</w:t>
          </w:r>
          <w:r>
            <w:fldChar w:fldCharType="end"/>
          </w:r>
          <w:r>
            <w:rPr>
              <w:rFonts w:ascii="宋体" w:hAnsi="宋体" w:eastAsia="宋体" w:cs="Times New Roman"/>
              <w:kern w:val="2"/>
            </w:rPr>
            <w:fldChar w:fldCharType="end"/>
          </w:r>
        </w:p>
        <w:p w14:paraId="44AEAF3B">
          <w:pPr>
            <w:pStyle w:val="16"/>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_Toc31257 </w:instrText>
          </w:r>
          <w:r>
            <w:rPr>
              <w:rFonts w:ascii="宋体" w:hAnsi="宋体" w:eastAsia="宋体" w:cs="Times New Roman"/>
              <w:kern w:val="2"/>
            </w:rPr>
            <w:fldChar w:fldCharType="separate"/>
          </w:r>
          <w:r>
            <w:rPr>
              <w:rFonts w:hint="eastAsia" w:ascii="宋体" w:hAnsi="宋体" w:eastAsia="宋体" w:cs="Times New Roman"/>
              <w:bCs/>
              <w:kern w:val="44"/>
              <w:szCs w:val="30"/>
              <w:lang w:val="en-US" w:eastAsia="zh-CN" w:bidi="ar-SA"/>
            </w:rPr>
            <w:t xml:space="preserve">一、 </w:t>
          </w:r>
          <w:r>
            <w:rPr>
              <w:rFonts w:hint="eastAsia" w:ascii="宋体" w:hAnsi="宋体" w:eastAsia="宋体" w:cs="Times New Roman"/>
              <w:kern w:val="44"/>
              <w:szCs w:val="30"/>
              <w:lang w:val="en-US" w:eastAsia="zh-CN" w:bidi="ar-SA"/>
            </w:rPr>
            <w:t>建筑现状与性能模拟分析</w:t>
          </w:r>
          <w:r>
            <w:tab/>
          </w:r>
          <w:r>
            <w:fldChar w:fldCharType="begin"/>
          </w:r>
          <w:r>
            <w:instrText xml:space="preserve"> PAGEREF _Toc31257 \h </w:instrText>
          </w:r>
          <w:r>
            <w:fldChar w:fldCharType="separate"/>
          </w:r>
          <w:r>
            <w:t>8</w:t>
          </w:r>
          <w:r>
            <w:fldChar w:fldCharType="end"/>
          </w:r>
          <w:r>
            <w:rPr>
              <w:rFonts w:ascii="宋体" w:hAnsi="宋体" w:eastAsia="宋体" w:cs="Times New Roman"/>
              <w:kern w:val="2"/>
            </w:rPr>
            <w:fldChar w:fldCharType="end"/>
          </w:r>
        </w:p>
        <w:p w14:paraId="7078614E">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_Toc32414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（一） 模型建立</w:t>
          </w:r>
          <w:r>
            <w:tab/>
          </w:r>
          <w:r>
            <w:fldChar w:fldCharType="begin"/>
          </w:r>
          <w:r>
            <w:instrText xml:space="preserve"> PAGEREF _Toc32414 \h </w:instrText>
          </w:r>
          <w:r>
            <w:fldChar w:fldCharType="separate"/>
          </w:r>
          <w:r>
            <w:t>8</w:t>
          </w:r>
          <w:r>
            <w:fldChar w:fldCharType="end"/>
          </w:r>
          <w:r>
            <w:rPr>
              <w:rFonts w:ascii="宋体" w:hAnsi="宋体" w:eastAsia="宋体" w:cs="Times New Roman"/>
              <w:kern w:val="2"/>
            </w:rPr>
            <w:fldChar w:fldCharType="end"/>
          </w:r>
        </w:p>
        <w:p w14:paraId="1F5D18AF">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_Toc4342 </w:instrText>
          </w:r>
          <w:r>
            <w:rPr>
              <w:rFonts w:ascii="宋体" w:hAnsi="宋体" w:eastAsia="宋体" w:cs="Times New Roman"/>
              <w:kern w:val="2"/>
            </w:rPr>
            <w:fldChar w:fldCharType="separate"/>
          </w:r>
          <w:r>
            <w:rPr>
              <w:rFonts w:hint="default" w:ascii="宋体" w:hAnsi="宋体" w:eastAsia="宋体" w:cs="Arial"/>
              <w:bCs/>
              <w:kern w:val="2"/>
              <w:szCs w:val="21"/>
              <w:lang w:val="en-US" w:eastAsia="zh-CN" w:bidi="ar-SA"/>
            </w:rPr>
            <w:t xml:space="preserve">1． </w:t>
          </w:r>
          <w:r>
            <w:rPr>
              <w:rFonts w:hint="eastAsia" w:ascii="宋体" w:hAnsi="宋体" w:eastAsia="宋体" w:cs="Arial"/>
              <w:bCs/>
              <w:kern w:val="2"/>
              <w:szCs w:val="21"/>
              <w:lang w:val="en-US" w:eastAsia="zh-CN" w:bidi="ar-SA"/>
            </w:rPr>
            <w:t>研究对象</w:t>
          </w:r>
          <w:r>
            <w:tab/>
          </w:r>
          <w:r>
            <w:fldChar w:fldCharType="begin"/>
          </w:r>
          <w:r>
            <w:instrText xml:space="preserve"> PAGEREF _Toc4342 \h </w:instrText>
          </w:r>
          <w:r>
            <w:fldChar w:fldCharType="separate"/>
          </w:r>
          <w:r>
            <w:t>8</w:t>
          </w:r>
          <w:r>
            <w:fldChar w:fldCharType="end"/>
          </w:r>
          <w:r>
            <w:rPr>
              <w:rFonts w:ascii="宋体" w:hAnsi="宋体" w:eastAsia="宋体" w:cs="Times New Roman"/>
              <w:kern w:val="2"/>
            </w:rPr>
            <w:fldChar w:fldCharType="end"/>
          </w:r>
        </w:p>
        <w:p w14:paraId="028E9B14">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_Toc4709 </w:instrText>
          </w:r>
          <w:r>
            <w:rPr>
              <w:rFonts w:ascii="宋体" w:hAnsi="宋体" w:eastAsia="宋体" w:cs="Times New Roman"/>
              <w:kern w:val="2"/>
            </w:rPr>
            <w:fldChar w:fldCharType="separate"/>
          </w:r>
          <w:r>
            <w:rPr>
              <w:rFonts w:hint="default" w:ascii="宋体" w:hAnsi="宋体" w:eastAsia="宋体" w:cs="Arial"/>
              <w:bCs/>
              <w:kern w:val="2"/>
              <w:szCs w:val="21"/>
              <w:lang w:val="en-US" w:eastAsia="zh-CN" w:bidi="ar-SA"/>
            </w:rPr>
            <w:t xml:space="preserve">2． </w:t>
          </w:r>
          <w:r>
            <w:rPr>
              <w:rFonts w:hint="eastAsia" w:ascii="宋体" w:hAnsi="宋体" w:eastAsia="宋体" w:cs="Arial"/>
              <w:bCs/>
              <w:kern w:val="2"/>
              <w:szCs w:val="21"/>
              <w:lang w:val="en-US" w:eastAsia="zh-CN" w:bidi="ar-SA"/>
            </w:rPr>
            <w:t>建筑功能布局</w:t>
          </w:r>
          <w:r>
            <w:tab/>
          </w:r>
          <w:r>
            <w:fldChar w:fldCharType="begin"/>
          </w:r>
          <w:r>
            <w:instrText xml:space="preserve"> PAGEREF _Toc4709 \h </w:instrText>
          </w:r>
          <w:r>
            <w:fldChar w:fldCharType="separate"/>
          </w:r>
          <w:r>
            <w:t>9</w:t>
          </w:r>
          <w:r>
            <w:fldChar w:fldCharType="end"/>
          </w:r>
          <w:r>
            <w:rPr>
              <w:rFonts w:ascii="宋体" w:hAnsi="宋体" w:eastAsia="宋体" w:cs="Times New Roman"/>
              <w:kern w:val="2"/>
            </w:rPr>
            <w:fldChar w:fldCharType="end"/>
          </w:r>
        </w:p>
        <w:p w14:paraId="395A62AB">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_Toc23587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（二） 围护结构设置</w:t>
          </w:r>
          <w:r>
            <w:tab/>
          </w:r>
          <w:r>
            <w:fldChar w:fldCharType="begin"/>
          </w:r>
          <w:r>
            <w:instrText xml:space="preserve"> PAGEREF _Toc23587 \h </w:instrText>
          </w:r>
          <w:r>
            <w:fldChar w:fldCharType="separate"/>
          </w:r>
          <w:r>
            <w:t>10</w:t>
          </w:r>
          <w:r>
            <w:fldChar w:fldCharType="end"/>
          </w:r>
          <w:r>
            <w:rPr>
              <w:rFonts w:ascii="宋体" w:hAnsi="宋体" w:eastAsia="宋体" w:cs="Times New Roman"/>
              <w:kern w:val="2"/>
            </w:rPr>
            <w:fldChar w:fldCharType="end"/>
          </w:r>
        </w:p>
        <w:p w14:paraId="7127710B">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_Toc28280 </w:instrText>
          </w:r>
          <w:r>
            <w:rPr>
              <w:rFonts w:ascii="宋体" w:hAnsi="宋体" w:eastAsia="宋体" w:cs="Times New Roman"/>
              <w:kern w:val="2"/>
            </w:rPr>
            <w:fldChar w:fldCharType="separate"/>
          </w:r>
          <w:r>
            <w:rPr>
              <w:rFonts w:hint="default" w:ascii="宋体" w:hAnsi="宋体" w:eastAsia="宋体" w:cs="Arial"/>
              <w:bCs/>
              <w:kern w:val="2"/>
              <w:szCs w:val="21"/>
              <w:lang w:val="en-US" w:eastAsia="zh-CN" w:bidi="ar-SA"/>
            </w:rPr>
            <w:t xml:space="preserve">1． </w:t>
          </w:r>
          <w:r>
            <w:rPr>
              <w:rFonts w:hint="eastAsia" w:ascii="宋体" w:hAnsi="宋体" w:eastAsia="宋体" w:cs="Arial"/>
              <w:bCs/>
              <w:kern w:val="2"/>
              <w:szCs w:val="21"/>
              <w:lang w:val="en-US" w:eastAsia="zh-CN" w:bidi="ar-SA"/>
            </w:rPr>
            <w:t>外墙构造</w:t>
          </w:r>
          <w:r>
            <w:tab/>
          </w:r>
          <w:r>
            <w:fldChar w:fldCharType="begin"/>
          </w:r>
          <w:r>
            <w:instrText xml:space="preserve"> PAGEREF _Toc28280 \h </w:instrText>
          </w:r>
          <w:r>
            <w:fldChar w:fldCharType="separate"/>
          </w:r>
          <w:r>
            <w:t>10</w:t>
          </w:r>
          <w:r>
            <w:fldChar w:fldCharType="end"/>
          </w:r>
          <w:r>
            <w:rPr>
              <w:rFonts w:ascii="宋体" w:hAnsi="宋体" w:eastAsia="宋体" w:cs="Times New Roman"/>
              <w:kern w:val="2"/>
            </w:rPr>
            <w:fldChar w:fldCharType="end"/>
          </w:r>
        </w:p>
        <w:p w14:paraId="4CBB53DD">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_Toc7097 </w:instrText>
          </w:r>
          <w:r>
            <w:rPr>
              <w:rFonts w:ascii="宋体" w:hAnsi="宋体" w:eastAsia="宋体" w:cs="Times New Roman"/>
              <w:kern w:val="2"/>
            </w:rPr>
            <w:fldChar w:fldCharType="separate"/>
          </w:r>
          <w:r>
            <w:rPr>
              <w:rFonts w:hint="default" w:ascii="宋体" w:hAnsi="宋体" w:eastAsia="宋体" w:cs="Arial"/>
              <w:bCs/>
              <w:kern w:val="2"/>
              <w:szCs w:val="21"/>
              <w:lang w:val="en-US" w:eastAsia="zh-CN" w:bidi="ar-SA"/>
            </w:rPr>
            <w:t xml:space="preserve">2． </w:t>
          </w:r>
          <w:r>
            <w:rPr>
              <w:rFonts w:hint="eastAsia" w:ascii="宋体" w:hAnsi="宋体" w:eastAsia="宋体" w:cs="Arial"/>
              <w:bCs/>
              <w:kern w:val="2"/>
              <w:szCs w:val="21"/>
              <w:lang w:val="en-US" w:eastAsia="zh-CN" w:bidi="ar-SA"/>
            </w:rPr>
            <w:t>屋面构造</w:t>
          </w:r>
          <w:r>
            <w:tab/>
          </w:r>
          <w:r>
            <w:fldChar w:fldCharType="begin"/>
          </w:r>
          <w:r>
            <w:instrText xml:space="preserve"> PAGEREF _Toc7097 \h </w:instrText>
          </w:r>
          <w:r>
            <w:fldChar w:fldCharType="separate"/>
          </w:r>
          <w:r>
            <w:t>10</w:t>
          </w:r>
          <w:r>
            <w:fldChar w:fldCharType="end"/>
          </w:r>
          <w:r>
            <w:rPr>
              <w:rFonts w:ascii="宋体" w:hAnsi="宋体" w:eastAsia="宋体" w:cs="Times New Roman"/>
              <w:kern w:val="2"/>
            </w:rPr>
            <w:fldChar w:fldCharType="end"/>
          </w:r>
        </w:p>
        <w:p w14:paraId="530F4A26">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_Toc3687 </w:instrText>
          </w:r>
          <w:r>
            <w:rPr>
              <w:rFonts w:ascii="宋体" w:hAnsi="宋体" w:eastAsia="宋体" w:cs="Times New Roman"/>
              <w:kern w:val="2"/>
            </w:rPr>
            <w:fldChar w:fldCharType="separate"/>
          </w:r>
          <w:r>
            <w:rPr>
              <w:rFonts w:hint="default" w:ascii="宋体" w:hAnsi="宋体" w:eastAsia="宋体" w:cs="Arial"/>
              <w:bCs/>
              <w:kern w:val="2"/>
              <w:szCs w:val="21"/>
              <w:lang w:val="en-US" w:eastAsia="zh-CN" w:bidi="ar-SA"/>
            </w:rPr>
            <w:t xml:space="preserve">3． </w:t>
          </w:r>
          <w:r>
            <w:rPr>
              <w:rFonts w:hint="eastAsia" w:ascii="宋体" w:hAnsi="宋体" w:eastAsia="宋体" w:cs="Arial"/>
              <w:bCs/>
              <w:kern w:val="2"/>
              <w:szCs w:val="21"/>
              <w:lang w:val="en-US" w:eastAsia="zh-CN" w:bidi="ar-SA"/>
            </w:rPr>
            <w:t>门窗类型</w:t>
          </w:r>
          <w:r>
            <w:tab/>
          </w:r>
          <w:r>
            <w:fldChar w:fldCharType="begin"/>
          </w:r>
          <w:r>
            <w:instrText xml:space="preserve"> PAGEREF _Toc3687 \h </w:instrText>
          </w:r>
          <w:r>
            <w:fldChar w:fldCharType="separate"/>
          </w:r>
          <w:r>
            <w:t>11</w:t>
          </w:r>
          <w:r>
            <w:fldChar w:fldCharType="end"/>
          </w:r>
          <w:r>
            <w:rPr>
              <w:rFonts w:ascii="宋体" w:hAnsi="宋体" w:eastAsia="宋体" w:cs="Times New Roman"/>
              <w:kern w:val="2"/>
            </w:rPr>
            <w:fldChar w:fldCharType="end"/>
          </w:r>
        </w:p>
        <w:p w14:paraId="6DDD9533">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_Toc4478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（三） 用能系统设置</w:t>
          </w:r>
          <w:r>
            <w:tab/>
          </w:r>
          <w:r>
            <w:fldChar w:fldCharType="begin"/>
          </w:r>
          <w:r>
            <w:instrText xml:space="preserve"> PAGEREF _Toc4478 \h </w:instrText>
          </w:r>
          <w:r>
            <w:fldChar w:fldCharType="separate"/>
          </w:r>
          <w:r>
            <w:t>12</w:t>
          </w:r>
          <w:r>
            <w:fldChar w:fldCharType="end"/>
          </w:r>
          <w:r>
            <w:rPr>
              <w:rFonts w:ascii="宋体" w:hAnsi="宋体" w:eastAsia="宋体" w:cs="Times New Roman"/>
              <w:kern w:val="2"/>
            </w:rPr>
            <w:fldChar w:fldCharType="end"/>
          </w:r>
        </w:p>
        <w:p w14:paraId="3DD7CDCA">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_Toc22406 </w:instrText>
          </w:r>
          <w:r>
            <w:rPr>
              <w:rFonts w:ascii="宋体" w:hAnsi="宋体" w:eastAsia="宋体" w:cs="Times New Roman"/>
              <w:kern w:val="2"/>
            </w:rPr>
            <w:fldChar w:fldCharType="separate"/>
          </w:r>
          <w:r>
            <w:rPr>
              <w:rFonts w:hint="default" w:ascii="宋体" w:hAnsi="宋体" w:eastAsia="宋体" w:cs="Arial"/>
              <w:bCs/>
              <w:kern w:val="2"/>
              <w:szCs w:val="21"/>
              <w:lang w:val="en-US" w:eastAsia="zh-CN" w:bidi="ar-SA"/>
            </w:rPr>
            <w:t xml:space="preserve">1． </w:t>
          </w:r>
          <w:r>
            <w:rPr>
              <w:rFonts w:hint="eastAsia" w:ascii="宋体" w:hAnsi="宋体" w:cs="Arial"/>
              <w:bCs/>
              <w:kern w:val="2"/>
              <w:szCs w:val="21"/>
              <w:lang w:val="en-US" w:eastAsia="zh-CN" w:bidi="ar-SA"/>
            </w:rPr>
            <w:t>空调系统</w:t>
          </w:r>
          <w:r>
            <w:tab/>
          </w:r>
          <w:r>
            <w:fldChar w:fldCharType="begin"/>
          </w:r>
          <w:r>
            <w:instrText xml:space="preserve"> PAGEREF _Toc22406 \h </w:instrText>
          </w:r>
          <w:r>
            <w:fldChar w:fldCharType="separate"/>
          </w:r>
          <w:r>
            <w:t>12</w:t>
          </w:r>
          <w:r>
            <w:fldChar w:fldCharType="end"/>
          </w:r>
          <w:r>
            <w:rPr>
              <w:rFonts w:ascii="宋体" w:hAnsi="宋体" w:eastAsia="宋体" w:cs="Times New Roman"/>
              <w:kern w:val="2"/>
            </w:rPr>
            <w:fldChar w:fldCharType="end"/>
          </w:r>
        </w:p>
        <w:p w14:paraId="049F1B10">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_Toc13683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采暖系统</w:t>
          </w:r>
          <w:r>
            <w:tab/>
          </w:r>
          <w:r>
            <w:fldChar w:fldCharType="begin"/>
          </w:r>
          <w:r>
            <w:instrText xml:space="preserve"> PAGEREF _Toc13683 \h </w:instrText>
          </w:r>
          <w:r>
            <w:fldChar w:fldCharType="separate"/>
          </w:r>
          <w:r>
            <w:t>12</w:t>
          </w:r>
          <w:r>
            <w:fldChar w:fldCharType="end"/>
          </w:r>
          <w:r>
            <w:rPr>
              <w:rFonts w:ascii="宋体" w:hAnsi="宋体" w:eastAsia="宋体" w:cs="Times New Roman"/>
              <w:kern w:val="2"/>
            </w:rPr>
            <w:fldChar w:fldCharType="end"/>
          </w:r>
        </w:p>
        <w:p w14:paraId="1D1FCD15">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_Toc29137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3． </w:t>
          </w:r>
          <w:r>
            <w:rPr>
              <w:rFonts w:hint="eastAsia" w:ascii="宋体" w:hAnsi="宋体" w:cs="Arial"/>
              <w:bCs/>
              <w:kern w:val="2"/>
              <w:szCs w:val="21"/>
              <w:lang w:val="en-US" w:eastAsia="zh-CN" w:bidi="ar-SA"/>
            </w:rPr>
            <w:t>照明系统</w:t>
          </w:r>
          <w:r>
            <w:tab/>
          </w:r>
          <w:r>
            <w:fldChar w:fldCharType="begin"/>
          </w:r>
          <w:r>
            <w:instrText xml:space="preserve"> PAGEREF _Toc29137 \h </w:instrText>
          </w:r>
          <w:r>
            <w:fldChar w:fldCharType="separate"/>
          </w:r>
          <w:r>
            <w:t>13</w:t>
          </w:r>
          <w:r>
            <w:fldChar w:fldCharType="end"/>
          </w:r>
          <w:r>
            <w:rPr>
              <w:rFonts w:ascii="宋体" w:hAnsi="宋体" w:eastAsia="宋体" w:cs="Times New Roman"/>
              <w:kern w:val="2"/>
            </w:rPr>
            <w:fldChar w:fldCharType="end"/>
          </w:r>
        </w:p>
        <w:p w14:paraId="57782F7D">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_Toc18360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4． </w:t>
          </w:r>
          <w:r>
            <w:rPr>
              <w:rFonts w:hint="eastAsia" w:ascii="宋体" w:hAnsi="宋体" w:cs="Arial"/>
              <w:bCs/>
              <w:kern w:val="2"/>
              <w:szCs w:val="21"/>
              <w:lang w:val="en-US" w:eastAsia="zh-CN" w:bidi="ar-SA"/>
            </w:rPr>
            <w:t>其他设备</w:t>
          </w:r>
          <w:r>
            <w:tab/>
          </w:r>
          <w:r>
            <w:fldChar w:fldCharType="begin"/>
          </w:r>
          <w:r>
            <w:instrText xml:space="preserve"> PAGEREF _Toc18360 \h </w:instrText>
          </w:r>
          <w:r>
            <w:fldChar w:fldCharType="separate"/>
          </w:r>
          <w:r>
            <w:t>14</w:t>
          </w:r>
          <w:r>
            <w:fldChar w:fldCharType="end"/>
          </w:r>
          <w:r>
            <w:rPr>
              <w:rFonts w:ascii="宋体" w:hAnsi="宋体" w:eastAsia="宋体" w:cs="Times New Roman"/>
              <w:kern w:val="2"/>
            </w:rPr>
            <w:fldChar w:fldCharType="end"/>
          </w:r>
        </w:p>
        <w:p w14:paraId="26AE74F9">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_Toc15534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（四） 运行时间表设置</w:t>
          </w:r>
          <w:r>
            <w:tab/>
          </w:r>
          <w:r>
            <w:fldChar w:fldCharType="begin"/>
          </w:r>
          <w:r>
            <w:instrText xml:space="preserve"> PAGEREF _Toc15534 \h </w:instrText>
          </w:r>
          <w:r>
            <w:fldChar w:fldCharType="separate"/>
          </w:r>
          <w:r>
            <w:t>14</w:t>
          </w:r>
          <w:r>
            <w:fldChar w:fldCharType="end"/>
          </w:r>
          <w:r>
            <w:rPr>
              <w:rFonts w:ascii="宋体" w:hAnsi="宋体" w:eastAsia="宋体" w:cs="Times New Roman"/>
              <w:kern w:val="2"/>
            </w:rPr>
            <w:fldChar w:fldCharType="end"/>
          </w:r>
        </w:p>
        <w:p w14:paraId="79CF0B00">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_Toc29374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人员作息时间表</w:t>
          </w:r>
          <w:r>
            <w:tab/>
          </w:r>
          <w:r>
            <w:fldChar w:fldCharType="begin"/>
          </w:r>
          <w:r>
            <w:instrText xml:space="preserve"> PAGEREF _Toc29374 \h </w:instrText>
          </w:r>
          <w:r>
            <w:fldChar w:fldCharType="separate"/>
          </w:r>
          <w:r>
            <w:t>14</w:t>
          </w:r>
          <w:r>
            <w:fldChar w:fldCharType="end"/>
          </w:r>
          <w:r>
            <w:rPr>
              <w:rFonts w:ascii="宋体" w:hAnsi="宋体" w:eastAsia="宋体" w:cs="Times New Roman"/>
              <w:kern w:val="2"/>
            </w:rPr>
            <w:fldChar w:fldCharType="end"/>
          </w:r>
        </w:p>
        <w:p w14:paraId="76B5736C">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_Toc26341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照明作息时间表</w:t>
          </w:r>
          <w:r>
            <w:tab/>
          </w:r>
          <w:r>
            <w:fldChar w:fldCharType="begin"/>
          </w:r>
          <w:r>
            <w:instrText xml:space="preserve"> PAGEREF _Toc26341 \h </w:instrText>
          </w:r>
          <w:r>
            <w:fldChar w:fldCharType="separate"/>
          </w:r>
          <w:r>
            <w:t>15</w:t>
          </w:r>
          <w:r>
            <w:fldChar w:fldCharType="end"/>
          </w:r>
          <w:r>
            <w:rPr>
              <w:rFonts w:ascii="宋体" w:hAnsi="宋体" w:eastAsia="宋体" w:cs="Times New Roman"/>
              <w:kern w:val="2"/>
            </w:rPr>
            <w:fldChar w:fldCharType="end"/>
          </w:r>
        </w:p>
        <w:p w14:paraId="5690BB22">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_Toc2016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3． </w:t>
          </w:r>
          <w:r>
            <w:rPr>
              <w:rFonts w:hint="eastAsia" w:ascii="宋体" w:hAnsi="宋体" w:cs="Arial"/>
              <w:bCs/>
              <w:kern w:val="2"/>
              <w:szCs w:val="21"/>
              <w:lang w:val="en-US" w:eastAsia="zh-CN" w:bidi="ar-SA"/>
            </w:rPr>
            <w:t>设备作息时间表</w:t>
          </w:r>
          <w:r>
            <w:tab/>
          </w:r>
          <w:r>
            <w:fldChar w:fldCharType="begin"/>
          </w:r>
          <w:r>
            <w:instrText xml:space="preserve"> PAGEREF _Toc2016 \h </w:instrText>
          </w:r>
          <w:r>
            <w:fldChar w:fldCharType="separate"/>
          </w:r>
          <w:r>
            <w:t>15</w:t>
          </w:r>
          <w:r>
            <w:fldChar w:fldCharType="end"/>
          </w:r>
          <w:r>
            <w:rPr>
              <w:rFonts w:ascii="宋体" w:hAnsi="宋体" w:eastAsia="宋体" w:cs="Times New Roman"/>
              <w:kern w:val="2"/>
            </w:rPr>
            <w:fldChar w:fldCharType="end"/>
          </w:r>
        </w:p>
        <w:p w14:paraId="0674CA39">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_Toc11086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4． </w:t>
          </w:r>
          <w:r>
            <w:rPr>
              <w:rFonts w:hint="eastAsia" w:ascii="宋体" w:hAnsi="宋体" w:cs="Arial"/>
              <w:bCs/>
              <w:kern w:val="2"/>
              <w:szCs w:val="21"/>
              <w:lang w:val="en-US" w:eastAsia="zh-CN" w:bidi="ar-SA"/>
            </w:rPr>
            <w:t>空调/新风作息</w:t>
          </w:r>
          <w:r>
            <w:tab/>
          </w:r>
          <w:r>
            <w:fldChar w:fldCharType="begin"/>
          </w:r>
          <w:r>
            <w:instrText xml:space="preserve"> PAGEREF _Toc11086 \h </w:instrText>
          </w:r>
          <w:r>
            <w:fldChar w:fldCharType="separate"/>
          </w:r>
          <w:r>
            <w:t>15</w:t>
          </w:r>
          <w:r>
            <w:fldChar w:fldCharType="end"/>
          </w:r>
          <w:r>
            <w:rPr>
              <w:rFonts w:ascii="宋体" w:hAnsi="宋体" w:eastAsia="宋体" w:cs="Times New Roman"/>
              <w:kern w:val="2"/>
            </w:rPr>
            <w:fldChar w:fldCharType="end"/>
          </w:r>
        </w:p>
        <w:p w14:paraId="7CC5FC27">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_Toc29138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（五） 能耗分析</w:t>
          </w:r>
          <w:r>
            <w:tab/>
          </w:r>
          <w:r>
            <w:fldChar w:fldCharType="begin"/>
          </w:r>
          <w:r>
            <w:instrText xml:space="preserve"> PAGEREF _Toc29138 \h </w:instrText>
          </w:r>
          <w:r>
            <w:fldChar w:fldCharType="separate"/>
          </w:r>
          <w:r>
            <w:t>15</w:t>
          </w:r>
          <w:r>
            <w:fldChar w:fldCharType="end"/>
          </w:r>
          <w:r>
            <w:rPr>
              <w:rFonts w:ascii="宋体" w:hAnsi="宋体" w:eastAsia="宋体" w:cs="Times New Roman"/>
              <w:kern w:val="2"/>
            </w:rPr>
            <w:fldChar w:fldCharType="end"/>
          </w:r>
        </w:p>
        <w:p w14:paraId="4D78A07A">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_Toc9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全年能耗构成</w:t>
          </w:r>
          <w:r>
            <w:tab/>
          </w:r>
          <w:r>
            <w:fldChar w:fldCharType="begin"/>
          </w:r>
          <w:r>
            <w:instrText xml:space="preserve"> PAGEREF _Toc9 \h </w:instrText>
          </w:r>
          <w:r>
            <w:fldChar w:fldCharType="separate"/>
          </w:r>
          <w:r>
            <w:t>15</w:t>
          </w:r>
          <w:r>
            <w:fldChar w:fldCharType="end"/>
          </w:r>
          <w:r>
            <w:rPr>
              <w:rFonts w:ascii="宋体" w:hAnsi="宋体" w:eastAsia="宋体" w:cs="Times New Roman"/>
              <w:kern w:val="2"/>
            </w:rPr>
            <w:fldChar w:fldCharType="end"/>
          </w:r>
        </w:p>
        <w:p w14:paraId="612E7E97">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_Toc5007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节能性评价</w:t>
          </w:r>
          <w:r>
            <w:tab/>
          </w:r>
          <w:r>
            <w:fldChar w:fldCharType="begin"/>
          </w:r>
          <w:r>
            <w:instrText xml:space="preserve"> PAGEREF _Toc5007 \h </w:instrText>
          </w:r>
          <w:r>
            <w:fldChar w:fldCharType="separate"/>
          </w:r>
          <w:r>
            <w:t>16</w:t>
          </w:r>
          <w:r>
            <w:fldChar w:fldCharType="end"/>
          </w:r>
          <w:r>
            <w:rPr>
              <w:rFonts w:ascii="宋体" w:hAnsi="宋体" w:eastAsia="宋体" w:cs="Times New Roman"/>
              <w:kern w:val="2"/>
            </w:rPr>
            <w:fldChar w:fldCharType="end"/>
          </w:r>
        </w:p>
        <w:p w14:paraId="7CDE1601">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_Toc13358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（六） 采光模拟</w:t>
          </w:r>
          <w:r>
            <w:tab/>
          </w:r>
          <w:r>
            <w:fldChar w:fldCharType="begin"/>
          </w:r>
          <w:r>
            <w:instrText xml:space="preserve"> PAGEREF _Toc13358 \h </w:instrText>
          </w:r>
          <w:r>
            <w:fldChar w:fldCharType="separate"/>
          </w:r>
          <w:r>
            <w:t>17</w:t>
          </w:r>
          <w:r>
            <w:fldChar w:fldCharType="end"/>
          </w:r>
          <w:r>
            <w:rPr>
              <w:rFonts w:ascii="宋体" w:hAnsi="宋体" w:eastAsia="宋体" w:cs="Times New Roman"/>
              <w:kern w:val="2"/>
            </w:rPr>
            <w:fldChar w:fldCharType="end"/>
          </w:r>
        </w:p>
        <w:p w14:paraId="3198BF83">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_Toc16298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采光模拟</w:t>
          </w:r>
          <w:r>
            <w:tab/>
          </w:r>
          <w:r>
            <w:fldChar w:fldCharType="begin"/>
          </w:r>
          <w:r>
            <w:instrText xml:space="preserve"> PAGEREF _Toc16298 \h </w:instrText>
          </w:r>
          <w:r>
            <w:fldChar w:fldCharType="separate"/>
          </w:r>
          <w:r>
            <w:t>17</w:t>
          </w:r>
          <w:r>
            <w:fldChar w:fldCharType="end"/>
          </w:r>
          <w:r>
            <w:rPr>
              <w:rFonts w:ascii="宋体" w:hAnsi="宋体" w:eastAsia="宋体" w:cs="Times New Roman"/>
              <w:kern w:val="2"/>
            </w:rPr>
            <w:fldChar w:fldCharType="end"/>
          </w:r>
        </w:p>
        <w:p w14:paraId="16C24B24">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_Toc6241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采光问题分析</w:t>
          </w:r>
          <w:r>
            <w:tab/>
          </w:r>
          <w:r>
            <w:fldChar w:fldCharType="begin"/>
          </w:r>
          <w:r>
            <w:instrText xml:space="preserve"> PAGEREF _Toc6241 \h </w:instrText>
          </w:r>
          <w:r>
            <w:fldChar w:fldCharType="separate"/>
          </w:r>
          <w:r>
            <w:t>19</w:t>
          </w:r>
          <w:r>
            <w:fldChar w:fldCharType="end"/>
          </w:r>
          <w:r>
            <w:rPr>
              <w:rFonts w:ascii="宋体" w:hAnsi="宋体" w:eastAsia="宋体" w:cs="Times New Roman"/>
              <w:kern w:val="2"/>
            </w:rPr>
            <w:fldChar w:fldCharType="end"/>
          </w:r>
        </w:p>
        <w:p w14:paraId="7A3BD8FC">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_Toc4906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（七） 通风分析</w:t>
          </w:r>
          <w:r>
            <w:tab/>
          </w:r>
          <w:r>
            <w:fldChar w:fldCharType="begin"/>
          </w:r>
          <w:r>
            <w:instrText xml:space="preserve"> PAGEREF _Toc4906 \h </w:instrText>
          </w:r>
          <w:r>
            <w:fldChar w:fldCharType="separate"/>
          </w:r>
          <w:r>
            <w:t>19</w:t>
          </w:r>
          <w:r>
            <w:fldChar w:fldCharType="end"/>
          </w:r>
          <w:r>
            <w:rPr>
              <w:rFonts w:ascii="宋体" w:hAnsi="宋体" w:eastAsia="宋体" w:cs="Times New Roman"/>
              <w:kern w:val="2"/>
            </w:rPr>
            <w:fldChar w:fldCharType="end"/>
          </w:r>
        </w:p>
        <w:p w14:paraId="6BC4B864">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_Toc28851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冬季工况分析</w:t>
          </w:r>
          <w:r>
            <w:tab/>
          </w:r>
          <w:r>
            <w:fldChar w:fldCharType="begin"/>
          </w:r>
          <w:r>
            <w:instrText xml:space="preserve"> PAGEREF _Toc28851 \h </w:instrText>
          </w:r>
          <w:r>
            <w:fldChar w:fldCharType="separate"/>
          </w:r>
          <w:r>
            <w:t>19</w:t>
          </w:r>
          <w:r>
            <w:fldChar w:fldCharType="end"/>
          </w:r>
          <w:r>
            <w:rPr>
              <w:rFonts w:ascii="宋体" w:hAnsi="宋体" w:eastAsia="宋体" w:cs="Times New Roman"/>
              <w:kern w:val="2"/>
            </w:rPr>
            <w:fldChar w:fldCharType="end"/>
          </w:r>
        </w:p>
        <w:p w14:paraId="5E4CDE6C">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_Toc6242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夏季工况分析</w:t>
          </w:r>
          <w:r>
            <w:tab/>
          </w:r>
          <w:r>
            <w:fldChar w:fldCharType="begin"/>
          </w:r>
          <w:r>
            <w:instrText xml:space="preserve"> PAGEREF _Toc6242 \h </w:instrText>
          </w:r>
          <w:r>
            <w:fldChar w:fldCharType="separate"/>
          </w:r>
          <w:r>
            <w:t>21</w:t>
          </w:r>
          <w:r>
            <w:fldChar w:fldCharType="end"/>
          </w:r>
          <w:r>
            <w:rPr>
              <w:rFonts w:ascii="宋体" w:hAnsi="宋体" w:eastAsia="宋体" w:cs="Times New Roman"/>
              <w:kern w:val="2"/>
            </w:rPr>
            <w:fldChar w:fldCharType="end"/>
          </w:r>
        </w:p>
        <w:p w14:paraId="5E6CE357">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_Toc8867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3． </w:t>
          </w:r>
          <w:r>
            <w:rPr>
              <w:rFonts w:hint="eastAsia" w:ascii="宋体" w:hAnsi="宋体" w:cs="Arial"/>
              <w:bCs/>
              <w:kern w:val="2"/>
              <w:szCs w:val="21"/>
              <w:lang w:val="en-US" w:eastAsia="zh-CN" w:bidi="ar-SA"/>
            </w:rPr>
            <w:t>通风问题分析</w:t>
          </w:r>
          <w:r>
            <w:tab/>
          </w:r>
          <w:r>
            <w:fldChar w:fldCharType="begin"/>
          </w:r>
          <w:r>
            <w:instrText xml:space="preserve"> PAGEREF _Toc8867 \h </w:instrText>
          </w:r>
          <w:r>
            <w:fldChar w:fldCharType="separate"/>
          </w:r>
          <w:r>
            <w:t>22</w:t>
          </w:r>
          <w:r>
            <w:fldChar w:fldCharType="end"/>
          </w:r>
          <w:r>
            <w:rPr>
              <w:rFonts w:ascii="宋体" w:hAnsi="宋体" w:eastAsia="宋体" w:cs="Times New Roman"/>
              <w:kern w:val="2"/>
            </w:rPr>
            <w:fldChar w:fldCharType="end"/>
          </w:r>
        </w:p>
        <w:p w14:paraId="60F9E00F">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_Toc31073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（八） 热舒适度分析</w:t>
          </w:r>
          <w:r>
            <w:tab/>
          </w:r>
          <w:r>
            <w:fldChar w:fldCharType="begin"/>
          </w:r>
          <w:r>
            <w:instrText xml:space="preserve"> PAGEREF _Toc31073 \h </w:instrText>
          </w:r>
          <w:r>
            <w:fldChar w:fldCharType="separate"/>
          </w:r>
          <w:r>
            <w:t>22</w:t>
          </w:r>
          <w:r>
            <w:fldChar w:fldCharType="end"/>
          </w:r>
          <w:r>
            <w:rPr>
              <w:rFonts w:ascii="宋体" w:hAnsi="宋体" w:eastAsia="宋体" w:cs="Times New Roman"/>
              <w:kern w:val="2"/>
            </w:rPr>
            <w:fldChar w:fldCharType="end"/>
          </w:r>
        </w:p>
        <w:p w14:paraId="3121C673">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_Toc26709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参数设置</w:t>
          </w:r>
          <w:r>
            <w:tab/>
          </w:r>
          <w:r>
            <w:fldChar w:fldCharType="begin"/>
          </w:r>
          <w:r>
            <w:instrText xml:space="preserve"> PAGEREF _Toc26709 \h </w:instrText>
          </w:r>
          <w:r>
            <w:fldChar w:fldCharType="separate"/>
          </w:r>
          <w:r>
            <w:t>22</w:t>
          </w:r>
          <w:r>
            <w:fldChar w:fldCharType="end"/>
          </w:r>
          <w:r>
            <w:rPr>
              <w:rFonts w:ascii="宋体" w:hAnsi="宋体" w:eastAsia="宋体" w:cs="Times New Roman"/>
              <w:kern w:val="2"/>
            </w:rPr>
            <w:fldChar w:fldCharType="end"/>
          </w:r>
        </w:p>
        <w:p w14:paraId="0DF5CB65">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_Toc1764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热舒适模拟结果</w:t>
          </w:r>
          <w:r>
            <w:tab/>
          </w:r>
          <w:r>
            <w:fldChar w:fldCharType="begin"/>
          </w:r>
          <w:r>
            <w:instrText xml:space="preserve"> PAGEREF _Toc1764 \h </w:instrText>
          </w:r>
          <w:r>
            <w:fldChar w:fldCharType="separate"/>
          </w:r>
          <w:r>
            <w:t>23</w:t>
          </w:r>
          <w:r>
            <w:fldChar w:fldCharType="end"/>
          </w:r>
          <w:r>
            <w:rPr>
              <w:rFonts w:ascii="宋体" w:hAnsi="宋体" w:eastAsia="宋体" w:cs="Times New Roman"/>
              <w:kern w:val="2"/>
            </w:rPr>
            <w:fldChar w:fldCharType="end"/>
          </w:r>
        </w:p>
        <w:p w14:paraId="1A9ADD59">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_Toc23079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3． </w:t>
          </w:r>
          <w:r>
            <w:rPr>
              <w:rFonts w:hint="eastAsia" w:ascii="宋体" w:hAnsi="宋体" w:cs="Arial"/>
              <w:bCs/>
              <w:kern w:val="2"/>
              <w:szCs w:val="21"/>
              <w:lang w:val="en-US" w:eastAsia="zh-CN" w:bidi="ar-SA"/>
            </w:rPr>
            <w:t>热舒适问题分析</w:t>
          </w:r>
          <w:r>
            <w:tab/>
          </w:r>
          <w:r>
            <w:fldChar w:fldCharType="begin"/>
          </w:r>
          <w:r>
            <w:instrText xml:space="preserve"> PAGEREF _Toc23079 \h </w:instrText>
          </w:r>
          <w:r>
            <w:fldChar w:fldCharType="separate"/>
          </w:r>
          <w:r>
            <w:t>25</w:t>
          </w:r>
          <w:r>
            <w:fldChar w:fldCharType="end"/>
          </w:r>
          <w:r>
            <w:rPr>
              <w:rFonts w:ascii="宋体" w:hAnsi="宋体" w:eastAsia="宋体" w:cs="Times New Roman"/>
              <w:kern w:val="2"/>
            </w:rPr>
            <w:fldChar w:fldCharType="end"/>
          </w:r>
        </w:p>
        <w:p w14:paraId="42C5CC91">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_Toc16379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（九） 现状问题总结</w:t>
          </w:r>
          <w:r>
            <w:tab/>
          </w:r>
          <w:r>
            <w:fldChar w:fldCharType="begin"/>
          </w:r>
          <w:r>
            <w:instrText xml:space="preserve"> PAGEREF _Toc16379 \h </w:instrText>
          </w:r>
          <w:r>
            <w:fldChar w:fldCharType="separate"/>
          </w:r>
          <w:r>
            <w:t>25</w:t>
          </w:r>
          <w:r>
            <w:fldChar w:fldCharType="end"/>
          </w:r>
          <w:r>
            <w:rPr>
              <w:rFonts w:ascii="宋体" w:hAnsi="宋体" w:eastAsia="宋体" w:cs="Times New Roman"/>
              <w:kern w:val="2"/>
            </w:rPr>
            <w:fldChar w:fldCharType="end"/>
          </w:r>
        </w:p>
        <w:p w14:paraId="3CBA2BF2">
          <w:pPr>
            <w:pStyle w:val="16"/>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_Toc27218 </w:instrText>
          </w:r>
          <w:r>
            <w:rPr>
              <w:rFonts w:ascii="宋体" w:hAnsi="宋体" w:eastAsia="宋体" w:cs="Times New Roman"/>
              <w:kern w:val="2"/>
            </w:rPr>
            <w:fldChar w:fldCharType="separate"/>
          </w:r>
          <w:r>
            <w:rPr>
              <w:rFonts w:hint="eastAsia" w:ascii="宋体" w:hAnsi="宋体" w:eastAsia="宋体" w:cs="Times New Roman"/>
              <w:bCs/>
              <w:kern w:val="44"/>
              <w:szCs w:val="30"/>
              <w:lang w:val="en-US" w:eastAsia="zh-CN" w:bidi="ar-SA"/>
            </w:rPr>
            <w:t xml:space="preserve">二、 </w:t>
          </w:r>
          <w:r>
            <w:rPr>
              <w:rFonts w:hint="eastAsia" w:ascii="宋体" w:hAnsi="宋体" w:eastAsia="宋体" w:cs="Times New Roman"/>
              <w:kern w:val="44"/>
              <w:szCs w:val="30"/>
              <w:lang w:val="en-US" w:eastAsia="zh-CN" w:bidi="ar-SA"/>
            </w:rPr>
            <w:t>节能改造方案设计</w:t>
          </w:r>
          <w:r>
            <w:tab/>
          </w:r>
          <w:r>
            <w:fldChar w:fldCharType="begin"/>
          </w:r>
          <w:r>
            <w:instrText xml:space="preserve"> PAGEREF _Toc27218 \h </w:instrText>
          </w:r>
          <w:r>
            <w:fldChar w:fldCharType="separate"/>
          </w:r>
          <w:r>
            <w:t>26</w:t>
          </w:r>
          <w:r>
            <w:fldChar w:fldCharType="end"/>
          </w:r>
          <w:r>
            <w:rPr>
              <w:rFonts w:ascii="宋体" w:hAnsi="宋体" w:eastAsia="宋体" w:cs="Times New Roman"/>
              <w:kern w:val="2"/>
            </w:rPr>
            <w:fldChar w:fldCharType="end"/>
          </w:r>
        </w:p>
        <w:p w14:paraId="5B359F99">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_Toc10179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（一） 改造目标与原则</w:t>
          </w:r>
          <w:r>
            <w:tab/>
          </w:r>
          <w:r>
            <w:fldChar w:fldCharType="begin"/>
          </w:r>
          <w:r>
            <w:instrText xml:space="preserve"> PAGEREF _Toc10179 \h </w:instrText>
          </w:r>
          <w:r>
            <w:fldChar w:fldCharType="separate"/>
          </w:r>
          <w:r>
            <w:t>26</w:t>
          </w:r>
          <w:r>
            <w:fldChar w:fldCharType="end"/>
          </w:r>
          <w:r>
            <w:rPr>
              <w:rFonts w:ascii="宋体" w:hAnsi="宋体" w:eastAsia="宋体" w:cs="Times New Roman"/>
              <w:kern w:val="2"/>
            </w:rPr>
            <w:fldChar w:fldCharType="end"/>
          </w:r>
        </w:p>
        <w:p w14:paraId="1513DA04">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_Toc2622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改造目标</w:t>
          </w:r>
          <w:r>
            <w:tab/>
          </w:r>
          <w:r>
            <w:fldChar w:fldCharType="begin"/>
          </w:r>
          <w:r>
            <w:instrText xml:space="preserve"> PAGEREF _Toc2622 \h </w:instrText>
          </w:r>
          <w:r>
            <w:fldChar w:fldCharType="separate"/>
          </w:r>
          <w:r>
            <w:t>26</w:t>
          </w:r>
          <w:r>
            <w:fldChar w:fldCharType="end"/>
          </w:r>
          <w:r>
            <w:rPr>
              <w:rFonts w:ascii="宋体" w:hAnsi="宋体" w:eastAsia="宋体" w:cs="Times New Roman"/>
              <w:kern w:val="2"/>
            </w:rPr>
            <w:fldChar w:fldCharType="end"/>
          </w:r>
        </w:p>
        <w:p w14:paraId="18DF0FC6">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_Toc25046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改造原则</w:t>
          </w:r>
          <w:r>
            <w:tab/>
          </w:r>
          <w:r>
            <w:fldChar w:fldCharType="begin"/>
          </w:r>
          <w:r>
            <w:instrText xml:space="preserve"> PAGEREF _Toc25046 \h </w:instrText>
          </w:r>
          <w:r>
            <w:fldChar w:fldCharType="separate"/>
          </w:r>
          <w:r>
            <w:t>26</w:t>
          </w:r>
          <w:r>
            <w:fldChar w:fldCharType="end"/>
          </w:r>
          <w:r>
            <w:rPr>
              <w:rFonts w:ascii="宋体" w:hAnsi="宋体" w:eastAsia="宋体" w:cs="Times New Roman"/>
              <w:kern w:val="2"/>
            </w:rPr>
            <w:fldChar w:fldCharType="end"/>
          </w:r>
        </w:p>
        <w:p w14:paraId="06053249">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_Toc12196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（二） 围护结构改造</w:t>
          </w:r>
          <w:r>
            <w:tab/>
          </w:r>
          <w:r>
            <w:fldChar w:fldCharType="begin"/>
          </w:r>
          <w:r>
            <w:instrText xml:space="preserve"> PAGEREF _Toc12196 \h </w:instrText>
          </w:r>
          <w:r>
            <w:fldChar w:fldCharType="separate"/>
          </w:r>
          <w:r>
            <w:t>27</w:t>
          </w:r>
          <w:r>
            <w:fldChar w:fldCharType="end"/>
          </w:r>
          <w:r>
            <w:rPr>
              <w:rFonts w:ascii="宋体" w:hAnsi="宋体" w:eastAsia="宋体" w:cs="Times New Roman"/>
              <w:kern w:val="2"/>
            </w:rPr>
            <w:fldChar w:fldCharType="end"/>
          </w:r>
        </w:p>
        <w:p w14:paraId="09024260">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_Toc4967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外墙保温改造</w:t>
          </w:r>
          <w:r>
            <w:tab/>
          </w:r>
          <w:r>
            <w:fldChar w:fldCharType="begin"/>
          </w:r>
          <w:r>
            <w:instrText xml:space="preserve"> PAGEREF _Toc4967 \h </w:instrText>
          </w:r>
          <w:r>
            <w:fldChar w:fldCharType="separate"/>
          </w:r>
          <w:r>
            <w:t>27</w:t>
          </w:r>
          <w:r>
            <w:fldChar w:fldCharType="end"/>
          </w:r>
          <w:r>
            <w:rPr>
              <w:rFonts w:ascii="宋体" w:hAnsi="宋体" w:eastAsia="宋体" w:cs="Times New Roman"/>
              <w:kern w:val="2"/>
            </w:rPr>
            <w:fldChar w:fldCharType="end"/>
          </w:r>
        </w:p>
        <w:p w14:paraId="1211541C">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_Toc24517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屋面保温改造</w:t>
          </w:r>
          <w:r>
            <w:tab/>
          </w:r>
          <w:r>
            <w:fldChar w:fldCharType="begin"/>
          </w:r>
          <w:r>
            <w:instrText xml:space="preserve"> PAGEREF _Toc24517 \h </w:instrText>
          </w:r>
          <w:r>
            <w:fldChar w:fldCharType="separate"/>
          </w:r>
          <w:r>
            <w:t>27</w:t>
          </w:r>
          <w:r>
            <w:fldChar w:fldCharType="end"/>
          </w:r>
          <w:r>
            <w:rPr>
              <w:rFonts w:ascii="宋体" w:hAnsi="宋体" w:eastAsia="宋体" w:cs="Times New Roman"/>
              <w:kern w:val="2"/>
            </w:rPr>
            <w:fldChar w:fldCharType="end"/>
          </w:r>
        </w:p>
        <w:p w14:paraId="7405D7B8">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_Toc13865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3． </w:t>
          </w:r>
          <w:r>
            <w:rPr>
              <w:rFonts w:hint="eastAsia" w:ascii="宋体" w:hAnsi="宋体" w:cs="Arial"/>
              <w:bCs/>
              <w:kern w:val="2"/>
              <w:szCs w:val="21"/>
              <w:lang w:val="en-US" w:eastAsia="zh-CN" w:bidi="ar-SA"/>
            </w:rPr>
            <w:t>外窗更换方案</w:t>
          </w:r>
          <w:r>
            <w:tab/>
          </w:r>
          <w:r>
            <w:fldChar w:fldCharType="begin"/>
          </w:r>
          <w:r>
            <w:instrText xml:space="preserve"> PAGEREF _Toc13865 \h </w:instrText>
          </w:r>
          <w:r>
            <w:fldChar w:fldCharType="separate"/>
          </w:r>
          <w:r>
            <w:t>27</w:t>
          </w:r>
          <w:r>
            <w:fldChar w:fldCharType="end"/>
          </w:r>
          <w:r>
            <w:rPr>
              <w:rFonts w:ascii="宋体" w:hAnsi="宋体" w:eastAsia="宋体" w:cs="Times New Roman"/>
              <w:kern w:val="2"/>
            </w:rPr>
            <w:fldChar w:fldCharType="end"/>
          </w:r>
        </w:p>
        <w:p w14:paraId="346D6925">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_Toc22833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（三） 用能系统优化</w:t>
          </w:r>
          <w:r>
            <w:tab/>
          </w:r>
          <w:r>
            <w:fldChar w:fldCharType="begin"/>
          </w:r>
          <w:r>
            <w:instrText xml:space="preserve"> PAGEREF _Toc22833 \h </w:instrText>
          </w:r>
          <w:r>
            <w:fldChar w:fldCharType="separate"/>
          </w:r>
          <w:r>
            <w:t>27</w:t>
          </w:r>
          <w:r>
            <w:fldChar w:fldCharType="end"/>
          </w:r>
          <w:r>
            <w:rPr>
              <w:rFonts w:ascii="宋体" w:hAnsi="宋体" w:eastAsia="宋体" w:cs="Times New Roman"/>
              <w:kern w:val="2"/>
            </w:rPr>
            <w:fldChar w:fldCharType="end"/>
          </w:r>
        </w:p>
        <w:p w14:paraId="358F4F2C">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_Toc13163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空调系统升级</w:t>
          </w:r>
          <w:r>
            <w:tab/>
          </w:r>
          <w:r>
            <w:fldChar w:fldCharType="begin"/>
          </w:r>
          <w:r>
            <w:instrText xml:space="preserve"> PAGEREF _Toc13163 \h </w:instrText>
          </w:r>
          <w:r>
            <w:fldChar w:fldCharType="separate"/>
          </w:r>
          <w:r>
            <w:t>27</w:t>
          </w:r>
          <w:r>
            <w:fldChar w:fldCharType="end"/>
          </w:r>
          <w:r>
            <w:rPr>
              <w:rFonts w:ascii="宋体" w:hAnsi="宋体" w:eastAsia="宋体" w:cs="Times New Roman"/>
              <w:kern w:val="2"/>
            </w:rPr>
            <w:fldChar w:fldCharType="end"/>
          </w:r>
        </w:p>
        <w:p w14:paraId="12EF68F4">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_Toc30970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电梯系统改造</w:t>
          </w:r>
          <w:r>
            <w:tab/>
          </w:r>
          <w:r>
            <w:fldChar w:fldCharType="begin"/>
          </w:r>
          <w:r>
            <w:instrText xml:space="preserve"> PAGEREF _Toc30970 \h </w:instrText>
          </w:r>
          <w:r>
            <w:fldChar w:fldCharType="separate"/>
          </w:r>
          <w:r>
            <w:t>27</w:t>
          </w:r>
          <w:r>
            <w:fldChar w:fldCharType="end"/>
          </w:r>
          <w:r>
            <w:rPr>
              <w:rFonts w:ascii="宋体" w:hAnsi="宋体" w:eastAsia="宋体" w:cs="Times New Roman"/>
              <w:kern w:val="2"/>
            </w:rPr>
            <w:fldChar w:fldCharType="end"/>
          </w:r>
        </w:p>
        <w:p w14:paraId="5ADF0F6A">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_Toc4365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3． </w:t>
          </w:r>
          <w:r>
            <w:rPr>
              <w:rFonts w:hint="eastAsia" w:ascii="宋体" w:hAnsi="宋体" w:cs="Arial"/>
              <w:bCs/>
              <w:kern w:val="2"/>
              <w:szCs w:val="21"/>
              <w:lang w:val="en-US" w:eastAsia="zh-CN" w:bidi="ar-SA"/>
            </w:rPr>
            <w:t>采暖系统升级</w:t>
          </w:r>
          <w:r>
            <w:tab/>
          </w:r>
          <w:r>
            <w:fldChar w:fldCharType="begin"/>
          </w:r>
          <w:r>
            <w:instrText xml:space="preserve"> PAGEREF _Toc4365 \h </w:instrText>
          </w:r>
          <w:r>
            <w:fldChar w:fldCharType="separate"/>
          </w:r>
          <w:r>
            <w:t>28</w:t>
          </w:r>
          <w:r>
            <w:fldChar w:fldCharType="end"/>
          </w:r>
          <w:r>
            <w:rPr>
              <w:rFonts w:ascii="宋体" w:hAnsi="宋体" w:eastAsia="宋体" w:cs="Times New Roman"/>
              <w:kern w:val="2"/>
            </w:rPr>
            <w:fldChar w:fldCharType="end"/>
          </w:r>
        </w:p>
        <w:p w14:paraId="529CE8A8">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_Toc7747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（四） 清洁能源利用</w:t>
          </w:r>
          <w:r>
            <w:tab/>
          </w:r>
          <w:r>
            <w:fldChar w:fldCharType="begin"/>
          </w:r>
          <w:r>
            <w:instrText xml:space="preserve"> PAGEREF _Toc7747 \h </w:instrText>
          </w:r>
          <w:r>
            <w:fldChar w:fldCharType="separate"/>
          </w:r>
          <w:r>
            <w:t>28</w:t>
          </w:r>
          <w:r>
            <w:fldChar w:fldCharType="end"/>
          </w:r>
          <w:r>
            <w:rPr>
              <w:rFonts w:ascii="宋体" w:hAnsi="宋体" w:eastAsia="宋体" w:cs="Times New Roman"/>
              <w:kern w:val="2"/>
            </w:rPr>
            <w:fldChar w:fldCharType="end"/>
          </w:r>
        </w:p>
        <w:p w14:paraId="377BA850">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_Toc1859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太阳能光伏系统</w:t>
          </w:r>
          <w:r>
            <w:tab/>
          </w:r>
          <w:r>
            <w:fldChar w:fldCharType="begin"/>
          </w:r>
          <w:r>
            <w:instrText xml:space="preserve"> PAGEREF _Toc1859 \h </w:instrText>
          </w:r>
          <w:r>
            <w:fldChar w:fldCharType="separate"/>
          </w:r>
          <w:r>
            <w:t>28</w:t>
          </w:r>
          <w:r>
            <w:fldChar w:fldCharType="end"/>
          </w:r>
          <w:r>
            <w:rPr>
              <w:rFonts w:ascii="宋体" w:hAnsi="宋体" w:eastAsia="宋体" w:cs="Times New Roman"/>
              <w:kern w:val="2"/>
            </w:rPr>
            <w:fldChar w:fldCharType="end"/>
          </w:r>
        </w:p>
        <w:p w14:paraId="20FA51B6">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_Toc10126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太阳能热水系统</w:t>
          </w:r>
          <w:r>
            <w:tab/>
          </w:r>
          <w:r>
            <w:fldChar w:fldCharType="begin"/>
          </w:r>
          <w:r>
            <w:instrText xml:space="preserve"> PAGEREF _Toc10126 \h </w:instrText>
          </w:r>
          <w:r>
            <w:fldChar w:fldCharType="separate"/>
          </w:r>
          <w:r>
            <w:t>28</w:t>
          </w:r>
          <w:r>
            <w:fldChar w:fldCharType="end"/>
          </w:r>
          <w:r>
            <w:rPr>
              <w:rFonts w:ascii="宋体" w:hAnsi="宋体" w:eastAsia="宋体" w:cs="Times New Roman"/>
              <w:kern w:val="2"/>
            </w:rPr>
            <w:fldChar w:fldCharType="end"/>
          </w:r>
        </w:p>
        <w:p w14:paraId="6E3BC037">
          <w:pPr>
            <w:pStyle w:val="16"/>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_Toc19772 </w:instrText>
          </w:r>
          <w:r>
            <w:rPr>
              <w:rFonts w:ascii="宋体" w:hAnsi="宋体" w:eastAsia="宋体" w:cs="Times New Roman"/>
              <w:kern w:val="2"/>
            </w:rPr>
            <w:fldChar w:fldCharType="separate"/>
          </w:r>
          <w:r>
            <w:rPr>
              <w:rFonts w:hint="eastAsia" w:ascii="宋体" w:hAnsi="宋体" w:eastAsia="宋体" w:cs="Times New Roman"/>
              <w:bCs/>
              <w:kern w:val="44"/>
              <w:szCs w:val="30"/>
              <w:lang w:val="en-US" w:eastAsia="zh-CN" w:bidi="ar-SA"/>
            </w:rPr>
            <w:t xml:space="preserve">三、 </w:t>
          </w:r>
          <w:r>
            <w:rPr>
              <w:rFonts w:hint="eastAsia" w:ascii="宋体" w:hAnsi="宋体" w:eastAsia="宋体" w:cs="Times New Roman"/>
              <w:kern w:val="44"/>
              <w:szCs w:val="30"/>
              <w:lang w:val="en-US" w:eastAsia="zh-CN" w:bidi="ar-SA"/>
            </w:rPr>
            <w:t>改造效果模拟验证</w:t>
          </w:r>
          <w:r>
            <w:tab/>
          </w:r>
          <w:r>
            <w:fldChar w:fldCharType="begin"/>
          </w:r>
          <w:r>
            <w:instrText xml:space="preserve"> PAGEREF _Toc19772 \h </w:instrText>
          </w:r>
          <w:r>
            <w:fldChar w:fldCharType="separate"/>
          </w:r>
          <w:r>
            <w:t>29</w:t>
          </w:r>
          <w:r>
            <w:fldChar w:fldCharType="end"/>
          </w:r>
          <w:r>
            <w:rPr>
              <w:rFonts w:ascii="宋体" w:hAnsi="宋体" w:eastAsia="宋体" w:cs="Times New Roman"/>
              <w:kern w:val="2"/>
            </w:rPr>
            <w:fldChar w:fldCharType="end"/>
          </w:r>
        </w:p>
        <w:p w14:paraId="6917256C">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_Toc16183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（一） 改造后模型建立</w:t>
          </w:r>
          <w:r>
            <w:tab/>
          </w:r>
          <w:r>
            <w:fldChar w:fldCharType="begin"/>
          </w:r>
          <w:r>
            <w:instrText xml:space="preserve"> PAGEREF _Toc16183 \h </w:instrText>
          </w:r>
          <w:r>
            <w:fldChar w:fldCharType="separate"/>
          </w:r>
          <w:r>
            <w:t>29</w:t>
          </w:r>
          <w:r>
            <w:fldChar w:fldCharType="end"/>
          </w:r>
          <w:r>
            <w:rPr>
              <w:rFonts w:ascii="宋体" w:hAnsi="宋体" w:eastAsia="宋体" w:cs="Times New Roman"/>
              <w:kern w:val="2"/>
            </w:rPr>
            <w:fldChar w:fldCharType="end"/>
          </w:r>
        </w:p>
        <w:p w14:paraId="01D8287D">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_Toc7202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（二） 改造后模拟结果</w:t>
          </w:r>
          <w:r>
            <w:tab/>
          </w:r>
          <w:r>
            <w:fldChar w:fldCharType="begin"/>
          </w:r>
          <w:r>
            <w:instrText xml:space="preserve"> PAGEREF _Toc7202 \h </w:instrText>
          </w:r>
          <w:r>
            <w:fldChar w:fldCharType="separate"/>
          </w:r>
          <w:r>
            <w:t>29</w:t>
          </w:r>
          <w:r>
            <w:fldChar w:fldCharType="end"/>
          </w:r>
          <w:r>
            <w:rPr>
              <w:rFonts w:ascii="宋体" w:hAnsi="宋体" w:eastAsia="宋体" w:cs="Times New Roman"/>
              <w:kern w:val="2"/>
            </w:rPr>
            <w:fldChar w:fldCharType="end"/>
          </w:r>
        </w:p>
        <w:p w14:paraId="147FFBD1">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_Toc6395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能耗结果分析</w:t>
          </w:r>
          <w:r>
            <w:tab/>
          </w:r>
          <w:r>
            <w:fldChar w:fldCharType="begin"/>
          </w:r>
          <w:r>
            <w:instrText xml:space="preserve"> PAGEREF _Toc6395 \h </w:instrText>
          </w:r>
          <w:r>
            <w:fldChar w:fldCharType="separate"/>
          </w:r>
          <w:r>
            <w:t>29</w:t>
          </w:r>
          <w:r>
            <w:fldChar w:fldCharType="end"/>
          </w:r>
          <w:r>
            <w:rPr>
              <w:rFonts w:ascii="宋体" w:hAnsi="宋体" w:eastAsia="宋体" w:cs="Times New Roman"/>
              <w:kern w:val="2"/>
            </w:rPr>
            <w:fldChar w:fldCharType="end"/>
          </w:r>
        </w:p>
        <w:p w14:paraId="611A0DA4">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_Toc8984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采光模拟分析</w:t>
          </w:r>
          <w:r>
            <w:tab/>
          </w:r>
          <w:r>
            <w:fldChar w:fldCharType="begin"/>
          </w:r>
          <w:r>
            <w:instrText xml:space="preserve"> PAGEREF _Toc8984 \h </w:instrText>
          </w:r>
          <w:r>
            <w:fldChar w:fldCharType="separate"/>
          </w:r>
          <w:r>
            <w:t>30</w:t>
          </w:r>
          <w:r>
            <w:fldChar w:fldCharType="end"/>
          </w:r>
          <w:r>
            <w:rPr>
              <w:rFonts w:ascii="宋体" w:hAnsi="宋体" w:eastAsia="宋体" w:cs="Times New Roman"/>
              <w:kern w:val="2"/>
            </w:rPr>
            <w:fldChar w:fldCharType="end"/>
          </w:r>
        </w:p>
        <w:p w14:paraId="093B5894">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_Toc4217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3． </w:t>
          </w:r>
          <w:r>
            <w:rPr>
              <w:rFonts w:hint="eastAsia" w:ascii="宋体" w:hAnsi="宋体" w:cs="Arial"/>
              <w:bCs/>
              <w:kern w:val="2"/>
              <w:szCs w:val="21"/>
              <w:lang w:val="en-US" w:eastAsia="zh-CN" w:bidi="ar-SA"/>
            </w:rPr>
            <w:t>通风分析</w:t>
          </w:r>
          <w:r>
            <w:tab/>
          </w:r>
          <w:r>
            <w:fldChar w:fldCharType="begin"/>
          </w:r>
          <w:r>
            <w:instrText xml:space="preserve"> PAGEREF _Toc4217 \h </w:instrText>
          </w:r>
          <w:r>
            <w:fldChar w:fldCharType="separate"/>
          </w:r>
          <w:r>
            <w:t>32</w:t>
          </w:r>
          <w:r>
            <w:fldChar w:fldCharType="end"/>
          </w:r>
          <w:r>
            <w:rPr>
              <w:rFonts w:ascii="宋体" w:hAnsi="宋体" w:eastAsia="宋体" w:cs="Times New Roman"/>
              <w:kern w:val="2"/>
            </w:rPr>
            <w:fldChar w:fldCharType="end"/>
          </w:r>
        </w:p>
        <w:p w14:paraId="467C397D">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_Toc15386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4． </w:t>
          </w:r>
          <w:r>
            <w:rPr>
              <w:rFonts w:hint="eastAsia" w:ascii="宋体" w:hAnsi="宋体" w:cs="Arial"/>
              <w:bCs/>
              <w:kern w:val="2"/>
              <w:szCs w:val="21"/>
              <w:lang w:val="en-US" w:eastAsia="zh-CN" w:bidi="ar-SA"/>
            </w:rPr>
            <w:t>热舒适度分析</w:t>
          </w:r>
          <w:r>
            <w:tab/>
          </w:r>
          <w:r>
            <w:fldChar w:fldCharType="begin"/>
          </w:r>
          <w:r>
            <w:instrText xml:space="preserve"> PAGEREF _Toc15386 \h </w:instrText>
          </w:r>
          <w:r>
            <w:fldChar w:fldCharType="separate"/>
          </w:r>
          <w:r>
            <w:t>32</w:t>
          </w:r>
          <w:r>
            <w:fldChar w:fldCharType="end"/>
          </w:r>
          <w:r>
            <w:rPr>
              <w:rFonts w:ascii="宋体" w:hAnsi="宋体" w:eastAsia="宋体" w:cs="Times New Roman"/>
              <w:kern w:val="2"/>
            </w:rPr>
            <w:fldChar w:fldCharType="end"/>
          </w:r>
        </w:p>
        <w:p w14:paraId="3539068F">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_Toc22807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（三） 改造前后对比分析</w:t>
          </w:r>
          <w:r>
            <w:tab/>
          </w:r>
          <w:r>
            <w:fldChar w:fldCharType="begin"/>
          </w:r>
          <w:r>
            <w:instrText xml:space="preserve"> PAGEREF _Toc22807 \h </w:instrText>
          </w:r>
          <w:r>
            <w:fldChar w:fldCharType="separate"/>
          </w:r>
          <w:r>
            <w:t>32</w:t>
          </w:r>
          <w:r>
            <w:fldChar w:fldCharType="end"/>
          </w:r>
          <w:r>
            <w:rPr>
              <w:rFonts w:ascii="宋体" w:hAnsi="宋体" w:eastAsia="宋体" w:cs="Times New Roman"/>
              <w:kern w:val="2"/>
            </w:rPr>
            <w:fldChar w:fldCharType="end"/>
          </w:r>
        </w:p>
        <w:p w14:paraId="773FACCF">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_Toc28911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能耗指标对比</w:t>
          </w:r>
          <w:r>
            <w:tab/>
          </w:r>
          <w:r>
            <w:fldChar w:fldCharType="begin"/>
          </w:r>
          <w:r>
            <w:instrText xml:space="preserve"> PAGEREF _Toc28911 \h </w:instrText>
          </w:r>
          <w:r>
            <w:fldChar w:fldCharType="separate"/>
          </w:r>
          <w:r>
            <w:t>32</w:t>
          </w:r>
          <w:r>
            <w:fldChar w:fldCharType="end"/>
          </w:r>
          <w:r>
            <w:rPr>
              <w:rFonts w:ascii="宋体" w:hAnsi="宋体" w:eastAsia="宋体" w:cs="Times New Roman"/>
              <w:kern w:val="2"/>
            </w:rPr>
            <w:fldChar w:fldCharType="end"/>
          </w:r>
        </w:p>
        <w:p w14:paraId="087F3BB8">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_Toc12720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采光达标率对比</w:t>
          </w:r>
          <w:r>
            <w:tab/>
          </w:r>
          <w:r>
            <w:fldChar w:fldCharType="begin"/>
          </w:r>
          <w:r>
            <w:instrText xml:space="preserve"> PAGEREF _Toc12720 \h </w:instrText>
          </w:r>
          <w:r>
            <w:fldChar w:fldCharType="separate"/>
          </w:r>
          <w:r>
            <w:t>34</w:t>
          </w:r>
          <w:r>
            <w:fldChar w:fldCharType="end"/>
          </w:r>
          <w:r>
            <w:rPr>
              <w:rFonts w:ascii="宋体" w:hAnsi="宋体" w:eastAsia="宋体" w:cs="Times New Roman"/>
              <w:kern w:val="2"/>
            </w:rPr>
            <w:fldChar w:fldCharType="end"/>
          </w:r>
        </w:p>
        <w:p w14:paraId="66C73796">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_Toc6278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3． </w:t>
          </w:r>
          <w:r>
            <w:rPr>
              <w:rFonts w:hint="eastAsia" w:ascii="宋体" w:hAnsi="宋体" w:cs="Arial"/>
              <w:bCs/>
              <w:kern w:val="2"/>
              <w:szCs w:val="21"/>
              <w:lang w:val="en-US" w:eastAsia="zh-CN" w:bidi="ar-SA"/>
            </w:rPr>
            <w:t>通风效果对比</w:t>
          </w:r>
          <w:r>
            <w:tab/>
          </w:r>
          <w:r>
            <w:fldChar w:fldCharType="begin"/>
          </w:r>
          <w:r>
            <w:instrText xml:space="preserve"> PAGEREF _Toc6278 \h </w:instrText>
          </w:r>
          <w:r>
            <w:fldChar w:fldCharType="separate"/>
          </w:r>
          <w:r>
            <w:t>35</w:t>
          </w:r>
          <w:r>
            <w:fldChar w:fldCharType="end"/>
          </w:r>
          <w:r>
            <w:rPr>
              <w:rFonts w:ascii="宋体" w:hAnsi="宋体" w:eastAsia="宋体" w:cs="Times New Roman"/>
              <w:kern w:val="2"/>
            </w:rPr>
            <w:fldChar w:fldCharType="end"/>
          </w:r>
        </w:p>
        <w:p w14:paraId="7A951F02">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_Toc25321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4． </w:t>
          </w:r>
          <w:r>
            <w:rPr>
              <w:rFonts w:hint="eastAsia" w:ascii="宋体" w:hAnsi="宋体" w:cs="Arial"/>
              <w:bCs/>
              <w:kern w:val="2"/>
              <w:szCs w:val="21"/>
              <w:lang w:val="en-US" w:eastAsia="zh-CN" w:bidi="ar-SA"/>
            </w:rPr>
            <w:t>热舒适度对比</w:t>
          </w:r>
          <w:r>
            <w:tab/>
          </w:r>
          <w:r>
            <w:fldChar w:fldCharType="begin"/>
          </w:r>
          <w:r>
            <w:instrText xml:space="preserve"> PAGEREF _Toc25321 \h </w:instrText>
          </w:r>
          <w:r>
            <w:fldChar w:fldCharType="separate"/>
          </w:r>
          <w:r>
            <w:t>35</w:t>
          </w:r>
          <w:r>
            <w:fldChar w:fldCharType="end"/>
          </w:r>
          <w:r>
            <w:rPr>
              <w:rFonts w:ascii="宋体" w:hAnsi="宋体" w:eastAsia="宋体" w:cs="Times New Roman"/>
              <w:kern w:val="2"/>
            </w:rPr>
            <w:fldChar w:fldCharType="end"/>
          </w:r>
        </w:p>
        <w:p w14:paraId="47EAAD67">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_Toc22653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5． </w:t>
          </w:r>
          <w:r>
            <w:rPr>
              <w:rFonts w:hint="eastAsia" w:ascii="宋体" w:hAnsi="宋体" w:cs="Arial"/>
              <w:bCs/>
              <w:kern w:val="2"/>
              <w:szCs w:val="21"/>
              <w:lang w:val="en-US" w:eastAsia="zh-CN" w:bidi="ar-SA"/>
            </w:rPr>
            <w:t>综合节能率计算</w:t>
          </w:r>
          <w:r>
            <w:tab/>
          </w:r>
          <w:r>
            <w:fldChar w:fldCharType="begin"/>
          </w:r>
          <w:r>
            <w:instrText xml:space="preserve"> PAGEREF _Toc22653 \h </w:instrText>
          </w:r>
          <w:r>
            <w:fldChar w:fldCharType="separate"/>
          </w:r>
          <w:r>
            <w:t>35</w:t>
          </w:r>
          <w:r>
            <w:fldChar w:fldCharType="end"/>
          </w:r>
          <w:r>
            <w:rPr>
              <w:rFonts w:ascii="宋体" w:hAnsi="宋体" w:eastAsia="宋体" w:cs="Times New Roman"/>
              <w:kern w:val="2"/>
            </w:rPr>
            <w:fldChar w:fldCharType="end"/>
          </w:r>
        </w:p>
        <w:p w14:paraId="6E776431">
          <w:pPr>
            <w:pStyle w:val="16"/>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_Toc17717 </w:instrText>
          </w:r>
          <w:r>
            <w:rPr>
              <w:rFonts w:ascii="宋体" w:hAnsi="宋体" w:eastAsia="宋体" w:cs="Times New Roman"/>
              <w:kern w:val="2"/>
            </w:rPr>
            <w:fldChar w:fldCharType="separate"/>
          </w:r>
          <w:r>
            <w:rPr>
              <w:rFonts w:hint="eastAsia" w:ascii="宋体" w:hAnsi="宋体" w:eastAsia="宋体" w:cs="Times New Roman"/>
              <w:bCs/>
              <w:kern w:val="44"/>
              <w:szCs w:val="30"/>
              <w:lang w:val="en-US" w:eastAsia="zh-CN" w:bidi="ar-SA"/>
            </w:rPr>
            <w:t xml:space="preserve">四、 </w:t>
          </w:r>
          <w:r>
            <w:rPr>
              <w:rFonts w:hint="eastAsia" w:ascii="宋体" w:hAnsi="宋体" w:eastAsia="宋体" w:cs="Times New Roman"/>
              <w:kern w:val="44"/>
              <w:szCs w:val="30"/>
              <w:lang w:val="en-US" w:eastAsia="zh-CN" w:bidi="ar-SA"/>
            </w:rPr>
            <w:t>绿色建筑星级预评估</w:t>
          </w:r>
          <w:r>
            <w:tab/>
          </w:r>
          <w:r>
            <w:fldChar w:fldCharType="begin"/>
          </w:r>
          <w:r>
            <w:instrText xml:space="preserve"> PAGEREF _Toc17717 \h </w:instrText>
          </w:r>
          <w:r>
            <w:fldChar w:fldCharType="separate"/>
          </w:r>
          <w:r>
            <w:t>36</w:t>
          </w:r>
          <w:r>
            <w:fldChar w:fldCharType="end"/>
          </w:r>
          <w:r>
            <w:rPr>
              <w:rFonts w:ascii="宋体" w:hAnsi="宋体" w:eastAsia="宋体" w:cs="Times New Roman"/>
              <w:kern w:val="2"/>
            </w:rPr>
            <w:fldChar w:fldCharType="end"/>
          </w:r>
        </w:p>
        <w:p w14:paraId="066D2C1A">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_Toc29605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（一） 评价标准选取</w:t>
          </w:r>
          <w:r>
            <w:tab/>
          </w:r>
          <w:r>
            <w:fldChar w:fldCharType="begin"/>
          </w:r>
          <w:r>
            <w:instrText xml:space="preserve"> PAGEREF _Toc29605 \h </w:instrText>
          </w:r>
          <w:r>
            <w:fldChar w:fldCharType="separate"/>
          </w:r>
          <w:r>
            <w:t>36</w:t>
          </w:r>
          <w:r>
            <w:fldChar w:fldCharType="end"/>
          </w:r>
          <w:r>
            <w:rPr>
              <w:rFonts w:ascii="宋体" w:hAnsi="宋体" w:eastAsia="宋体" w:cs="Times New Roman"/>
              <w:kern w:val="2"/>
            </w:rPr>
            <w:fldChar w:fldCharType="end"/>
          </w:r>
        </w:p>
        <w:p w14:paraId="05BE573E">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_Toc13244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（二） 方案符合性分析</w:t>
          </w:r>
          <w:r>
            <w:tab/>
          </w:r>
          <w:r>
            <w:fldChar w:fldCharType="begin"/>
          </w:r>
          <w:r>
            <w:instrText xml:space="preserve"> PAGEREF _Toc13244 \h </w:instrText>
          </w:r>
          <w:r>
            <w:fldChar w:fldCharType="separate"/>
          </w:r>
          <w:r>
            <w:t>36</w:t>
          </w:r>
          <w:r>
            <w:fldChar w:fldCharType="end"/>
          </w:r>
          <w:r>
            <w:rPr>
              <w:rFonts w:ascii="宋体" w:hAnsi="宋体" w:eastAsia="宋体" w:cs="Times New Roman"/>
              <w:kern w:val="2"/>
            </w:rPr>
            <w:fldChar w:fldCharType="end"/>
          </w:r>
        </w:p>
        <w:p w14:paraId="58656F27">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_Toc21938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控制项评定</w:t>
          </w:r>
          <w:r>
            <w:tab/>
          </w:r>
          <w:r>
            <w:fldChar w:fldCharType="begin"/>
          </w:r>
          <w:r>
            <w:instrText xml:space="preserve"> PAGEREF _Toc21938 \h </w:instrText>
          </w:r>
          <w:r>
            <w:fldChar w:fldCharType="separate"/>
          </w:r>
          <w:r>
            <w:t>36</w:t>
          </w:r>
          <w:r>
            <w:fldChar w:fldCharType="end"/>
          </w:r>
          <w:r>
            <w:rPr>
              <w:rFonts w:ascii="宋体" w:hAnsi="宋体" w:eastAsia="宋体" w:cs="Times New Roman"/>
              <w:kern w:val="2"/>
            </w:rPr>
            <w:fldChar w:fldCharType="end"/>
          </w:r>
        </w:p>
        <w:p w14:paraId="2AD371F5">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_Toc15306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评分项分析</w:t>
          </w:r>
          <w:r>
            <w:tab/>
          </w:r>
          <w:r>
            <w:fldChar w:fldCharType="begin"/>
          </w:r>
          <w:r>
            <w:instrText xml:space="preserve"> PAGEREF _Toc15306 \h </w:instrText>
          </w:r>
          <w:r>
            <w:fldChar w:fldCharType="separate"/>
          </w:r>
          <w:r>
            <w:t>37</w:t>
          </w:r>
          <w:r>
            <w:fldChar w:fldCharType="end"/>
          </w:r>
          <w:r>
            <w:rPr>
              <w:rFonts w:ascii="宋体" w:hAnsi="宋体" w:eastAsia="宋体" w:cs="Times New Roman"/>
              <w:kern w:val="2"/>
            </w:rPr>
            <w:fldChar w:fldCharType="end"/>
          </w:r>
        </w:p>
        <w:p w14:paraId="22B2F946">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_Toc3463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（三） 得分计算与等级判定</w:t>
          </w:r>
          <w:r>
            <w:tab/>
          </w:r>
          <w:r>
            <w:fldChar w:fldCharType="begin"/>
          </w:r>
          <w:r>
            <w:instrText xml:space="preserve"> PAGEREF _Toc3463 \h </w:instrText>
          </w:r>
          <w:r>
            <w:fldChar w:fldCharType="separate"/>
          </w:r>
          <w:r>
            <w:t>43</w:t>
          </w:r>
          <w:r>
            <w:fldChar w:fldCharType="end"/>
          </w:r>
          <w:r>
            <w:rPr>
              <w:rFonts w:ascii="宋体" w:hAnsi="宋体" w:eastAsia="宋体" w:cs="Times New Roman"/>
              <w:kern w:val="2"/>
            </w:rPr>
            <w:fldChar w:fldCharType="end"/>
          </w:r>
        </w:p>
        <w:p w14:paraId="75983F6D">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_Toc5235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得分计算</w:t>
          </w:r>
          <w:r>
            <w:tab/>
          </w:r>
          <w:r>
            <w:fldChar w:fldCharType="begin"/>
          </w:r>
          <w:r>
            <w:instrText xml:space="preserve"> PAGEREF _Toc5235 \h </w:instrText>
          </w:r>
          <w:r>
            <w:fldChar w:fldCharType="separate"/>
          </w:r>
          <w:r>
            <w:t>43</w:t>
          </w:r>
          <w:r>
            <w:fldChar w:fldCharType="end"/>
          </w:r>
          <w:r>
            <w:rPr>
              <w:rFonts w:ascii="宋体" w:hAnsi="宋体" w:eastAsia="宋体" w:cs="Times New Roman"/>
              <w:kern w:val="2"/>
            </w:rPr>
            <w:fldChar w:fldCharType="end"/>
          </w:r>
        </w:p>
        <w:p w14:paraId="48383B49">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_Toc12982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等级判定</w:t>
          </w:r>
          <w:r>
            <w:tab/>
          </w:r>
          <w:r>
            <w:fldChar w:fldCharType="begin"/>
          </w:r>
          <w:r>
            <w:instrText xml:space="preserve"> PAGEREF _Toc12982 \h </w:instrText>
          </w:r>
          <w:r>
            <w:fldChar w:fldCharType="separate"/>
          </w:r>
          <w:r>
            <w:t>45</w:t>
          </w:r>
          <w:r>
            <w:fldChar w:fldCharType="end"/>
          </w:r>
          <w:r>
            <w:rPr>
              <w:rFonts w:ascii="宋体" w:hAnsi="宋体" w:eastAsia="宋体" w:cs="Times New Roman"/>
              <w:kern w:val="2"/>
            </w:rPr>
            <w:fldChar w:fldCharType="end"/>
          </w:r>
        </w:p>
        <w:p w14:paraId="32D36CF7">
          <w:pPr>
            <w:pStyle w:val="16"/>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_Toc2185 </w:instrText>
          </w:r>
          <w:r>
            <w:rPr>
              <w:rFonts w:ascii="宋体" w:hAnsi="宋体" w:eastAsia="宋体" w:cs="Times New Roman"/>
              <w:kern w:val="2"/>
            </w:rPr>
            <w:fldChar w:fldCharType="separate"/>
          </w:r>
          <w:r>
            <w:rPr>
              <w:rFonts w:hint="eastAsia" w:ascii="宋体" w:hAnsi="宋体" w:eastAsia="宋体" w:cs="Times New Roman"/>
              <w:bCs/>
              <w:kern w:val="44"/>
              <w:szCs w:val="30"/>
              <w:lang w:val="en-US" w:eastAsia="zh-CN" w:bidi="ar-SA"/>
            </w:rPr>
            <w:t xml:space="preserve">五、 </w:t>
          </w:r>
          <w:r>
            <w:rPr>
              <w:rFonts w:hint="eastAsia" w:ascii="宋体" w:hAnsi="宋体" w:eastAsia="宋体" w:cs="Times New Roman"/>
              <w:kern w:val="44"/>
              <w:szCs w:val="30"/>
              <w:lang w:val="en-US" w:eastAsia="zh-CN" w:bidi="ar-SA"/>
            </w:rPr>
            <w:t>实施要点与运行建议</w:t>
          </w:r>
          <w:r>
            <w:tab/>
          </w:r>
          <w:r>
            <w:fldChar w:fldCharType="begin"/>
          </w:r>
          <w:r>
            <w:instrText xml:space="preserve"> PAGEREF _Toc2185 \h </w:instrText>
          </w:r>
          <w:r>
            <w:fldChar w:fldCharType="separate"/>
          </w:r>
          <w:r>
            <w:t>47</w:t>
          </w:r>
          <w:r>
            <w:fldChar w:fldCharType="end"/>
          </w:r>
          <w:r>
            <w:rPr>
              <w:rFonts w:ascii="宋体" w:hAnsi="宋体" w:eastAsia="宋体" w:cs="Times New Roman"/>
              <w:kern w:val="2"/>
            </w:rPr>
            <w:fldChar w:fldCharType="end"/>
          </w:r>
        </w:p>
        <w:p w14:paraId="550E87C4">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_Toc22573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（一） 改造施工要点</w:t>
          </w:r>
          <w:r>
            <w:tab/>
          </w:r>
          <w:r>
            <w:fldChar w:fldCharType="begin"/>
          </w:r>
          <w:r>
            <w:instrText xml:space="preserve"> PAGEREF _Toc22573 \h </w:instrText>
          </w:r>
          <w:r>
            <w:fldChar w:fldCharType="separate"/>
          </w:r>
          <w:r>
            <w:t>47</w:t>
          </w:r>
          <w:r>
            <w:fldChar w:fldCharType="end"/>
          </w:r>
          <w:r>
            <w:rPr>
              <w:rFonts w:ascii="宋体" w:hAnsi="宋体" w:eastAsia="宋体" w:cs="Times New Roman"/>
              <w:kern w:val="2"/>
            </w:rPr>
            <w:fldChar w:fldCharType="end"/>
          </w:r>
        </w:p>
        <w:p w14:paraId="41BE5857">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_Toc3356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围护结构施工要点</w:t>
          </w:r>
          <w:r>
            <w:tab/>
          </w:r>
          <w:r>
            <w:fldChar w:fldCharType="begin"/>
          </w:r>
          <w:r>
            <w:instrText xml:space="preserve"> PAGEREF _Toc3356 \h </w:instrText>
          </w:r>
          <w:r>
            <w:fldChar w:fldCharType="separate"/>
          </w:r>
          <w:r>
            <w:t>47</w:t>
          </w:r>
          <w:r>
            <w:fldChar w:fldCharType="end"/>
          </w:r>
          <w:r>
            <w:rPr>
              <w:rFonts w:ascii="宋体" w:hAnsi="宋体" w:eastAsia="宋体" w:cs="Times New Roman"/>
              <w:kern w:val="2"/>
            </w:rPr>
            <w:fldChar w:fldCharType="end"/>
          </w:r>
        </w:p>
        <w:p w14:paraId="30D504E7">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_Toc32043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设备安装要点</w:t>
          </w:r>
          <w:r>
            <w:tab/>
          </w:r>
          <w:r>
            <w:fldChar w:fldCharType="begin"/>
          </w:r>
          <w:r>
            <w:instrText xml:space="preserve"> PAGEREF _Toc32043 \h </w:instrText>
          </w:r>
          <w:r>
            <w:fldChar w:fldCharType="separate"/>
          </w:r>
          <w:r>
            <w:t>47</w:t>
          </w:r>
          <w:r>
            <w:fldChar w:fldCharType="end"/>
          </w:r>
          <w:r>
            <w:rPr>
              <w:rFonts w:ascii="宋体" w:hAnsi="宋体" w:eastAsia="宋体" w:cs="Times New Roman"/>
              <w:kern w:val="2"/>
            </w:rPr>
            <w:fldChar w:fldCharType="end"/>
          </w:r>
        </w:p>
        <w:p w14:paraId="3ADE6234">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_Toc20762 </w:instrText>
          </w:r>
          <w:r>
            <w:rPr>
              <w:rFonts w:ascii="宋体" w:hAnsi="宋体" w:eastAsia="宋体" w:cs="Times New Roman"/>
              <w:kern w:val="2"/>
            </w:rPr>
            <w:fldChar w:fldCharType="separate"/>
          </w:r>
          <w:r>
            <w:rPr>
              <w:rFonts w:hint="eastAsia" w:ascii="宋体" w:hAnsi="宋体" w:eastAsia="宋体" w:cs="Arial"/>
              <w:bCs/>
              <w:iCs/>
              <w:kern w:val="2"/>
              <w:szCs w:val="24"/>
              <w:lang w:val="en-US" w:eastAsia="zh-CN" w:bidi="ar-SA"/>
            </w:rPr>
            <w:t>（二） 运行管理建议</w:t>
          </w:r>
          <w:r>
            <w:tab/>
          </w:r>
          <w:r>
            <w:fldChar w:fldCharType="begin"/>
          </w:r>
          <w:r>
            <w:instrText xml:space="preserve"> PAGEREF _Toc20762 \h </w:instrText>
          </w:r>
          <w:r>
            <w:fldChar w:fldCharType="separate"/>
          </w:r>
          <w:r>
            <w:t>47</w:t>
          </w:r>
          <w:r>
            <w:fldChar w:fldCharType="end"/>
          </w:r>
          <w:r>
            <w:rPr>
              <w:rFonts w:ascii="宋体" w:hAnsi="宋体" w:eastAsia="宋体" w:cs="Times New Roman"/>
              <w:kern w:val="2"/>
            </w:rPr>
            <w:fldChar w:fldCharType="end"/>
          </w:r>
        </w:p>
        <w:p w14:paraId="5EADC385">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_Toc14060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1． </w:t>
          </w:r>
          <w:r>
            <w:rPr>
              <w:rFonts w:hint="eastAsia" w:ascii="宋体" w:hAnsi="宋体" w:cs="Arial"/>
              <w:bCs/>
              <w:kern w:val="2"/>
              <w:szCs w:val="21"/>
              <w:lang w:val="en-US" w:eastAsia="zh-CN" w:bidi="ar-SA"/>
            </w:rPr>
            <w:t>能源管理</w:t>
          </w:r>
          <w:r>
            <w:tab/>
          </w:r>
          <w:r>
            <w:fldChar w:fldCharType="begin"/>
          </w:r>
          <w:r>
            <w:instrText xml:space="preserve"> PAGEREF _Toc14060 \h </w:instrText>
          </w:r>
          <w:r>
            <w:fldChar w:fldCharType="separate"/>
          </w:r>
          <w:r>
            <w:t>47</w:t>
          </w:r>
          <w:r>
            <w:fldChar w:fldCharType="end"/>
          </w:r>
          <w:r>
            <w:rPr>
              <w:rFonts w:ascii="宋体" w:hAnsi="宋体" w:eastAsia="宋体" w:cs="Times New Roman"/>
              <w:kern w:val="2"/>
            </w:rPr>
            <w:fldChar w:fldCharType="end"/>
          </w:r>
        </w:p>
        <w:p w14:paraId="25C307AF">
          <w:pPr>
            <w:pStyle w:val="11"/>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_Toc14024 </w:instrText>
          </w:r>
          <w:r>
            <w:rPr>
              <w:rFonts w:ascii="宋体" w:hAnsi="宋体" w:eastAsia="宋体" w:cs="Times New Roman"/>
              <w:kern w:val="2"/>
            </w:rPr>
            <w:fldChar w:fldCharType="separate"/>
          </w:r>
          <w:r>
            <w:rPr>
              <w:rFonts w:hint="default" w:ascii="宋体" w:hAnsi="宋体" w:cs="Arial"/>
              <w:bCs/>
              <w:kern w:val="2"/>
              <w:szCs w:val="21"/>
              <w:lang w:val="en-US" w:eastAsia="zh-CN" w:bidi="ar-SA"/>
            </w:rPr>
            <w:t xml:space="preserve">2． </w:t>
          </w:r>
          <w:r>
            <w:rPr>
              <w:rFonts w:hint="eastAsia" w:ascii="宋体" w:hAnsi="宋体" w:cs="Arial"/>
              <w:bCs/>
              <w:kern w:val="2"/>
              <w:szCs w:val="21"/>
              <w:lang w:val="en-US" w:eastAsia="zh-CN" w:bidi="ar-SA"/>
            </w:rPr>
            <w:t>设备维护</w:t>
          </w:r>
          <w:r>
            <w:tab/>
          </w:r>
          <w:r>
            <w:fldChar w:fldCharType="begin"/>
          </w:r>
          <w:r>
            <w:instrText xml:space="preserve"> PAGEREF _Toc14024 \h </w:instrText>
          </w:r>
          <w:r>
            <w:fldChar w:fldCharType="separate"/>
          </w:r>
          <w:r>
            <w:t>47</w:t>
          </w:r>
          <w:r>
            <w:fldChar w:fldCharType="end"/>
          </w:r>
          <w:r>
            <w:rPr>
              <w:rFonts w:ascii="宋体" w:hAnsi="宋体" w:eastAsia="宋体" w:cs="Times New Roman"/>
              <w:kern w:val="2"/>
            </w:rPr>
            <w:fldChar w:fldCharType="end"/>
          </w:r>
        </w:p>
        <w:p w14:paraId="6B345B17">
          <w:pPr>
            <w:pStyle w:val="16"/>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_Toc24754 </w:instrText>
          </w:r>
          <w:r>
            <w:rPr>
              <w:rFonts w:ascii="宋体" w:hAnsi="宋体" w:eastAsia="宋体" w:cs="Times New Roman"/>
              <w:kern w:val="2"/>
            </w:rPr>
            <w:fldChar w:fldCharType="separate"/>
          </w:r>
          <w:r>
            <w:rPr>
              <w:rFonts w:hint="eastAsia" w:ascii="宋体" w:hAnsi="宋体" w:eastAsia="宋体" w:cs="Times New Roman"/>
              <w:bCs/>
              <w:kern w:val="44"/>
              <w:szCs w:val="30"/>
              <w:lang w:val="en-US" w:eastAsia="zh-CN" w:bidi="ar-SA"/>
            </w:rPr>
            <w:t xml:space="preserve">六、 </w:t>
          </w:r>
          <w:r>
            <w:rPr>
              <w:rFonts w:hint="eastAsia" w:ascii="宋体" w:hAnsi="宋体" w:eastAsia="宋体" w:cs="Times New Roman"/>
              <w:kern w:val="44"/>
              <w:szCs w:val="30"/>
              <w:lang w:val="en-US" w:eastAsia="zh-CN" w:bidi="ar-SA"/>
            </w:rPr>
            <w:t>结论</w:t>
          </w:r>
          <w:r>
            <w:tab/>
          </w:r>
          <w:r>
            <w:fldChar w:fldCharType="begin"/>
          </w:r>
          <w:r>
            <w:instrText xml:space="preserve"> PAGEREF _Toc24754 \h </w:instrText>
          </w:r>
          <w:r>
            <w:fldChar w:fldCharType="separate"/>
          </w:r>
          <w:r>
            <w:t>48</w:t>
          </w:r>
          <w:r>
            <w:fldChar w:fldCharType="end"/>
          </w:r>
          <w:r>
            <w:rPr>
              <w:rFonts w:ascii="宋体" w:hAnsi="宋体" w:eastAsia="宋体" w:cs="Times New Roman"/>
              <w:kern w:val="2"/>
            </w:rPr>
            <w:fldChar w:fldCharType="end"/>
          </w:r>
        </w:p>
        <w:p w14:paraId="6EB2DDC7">
          <w:pPr>
            <w:pStyle w:val="18"/>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_Toc28201 </w:instrText>
          </w:r>
          <w:r>
            <w:rPr>
              <w:rFonts w:ascii="宋体" w:hAnsi="宋体" w:eastAsia="宋体" w:cs="Times New Roman"/>
              <w:kern w:val="2"/>
            </w:rPr>
            <w:fldChar w:fldCharType="separate"/>
          </w:r>
          <w:r>
            <w:rPr>
              <w:rFonts w:hint="eastAsia" w:ascii="宋体" w:hAnsi="宋体" w:eastAsia="宋体" w:cs="宋体"/>
              <w:bCs/>
              <w:kern w:val="2"/>
              <w:szCs w:val="32"/>
              <w:lang w:val="en-US" w:eastAsia="zh-CN" w:bidi="ar-SA"/>
            </w:rPr>
            <w:t>致</w:t>
          </w:r>
          <w:r>
            <w:rPr>
              <w:rFonts w:hint="eastAsia" w:ascii="宋体" w:hAnsi="宋体" w:eastAsia="宋体" w:cs="宋体"/>
              <w:bCs/>
              <w:spacing w:val="82"/>
              <w:kern w:val="2"/>
              <w:szCs w:val="32"/>
              <w:lang w:val="en-US" w:eastAsia="zh-CN" w:bidi="ar-SA"/>
            </w:rPr>
            <w:t xml:space="preserve">  </w:t>
          </w:r>
          <w:r>
            <w:rPr>
              <w:rFonts w:hint="eastAsia" w:ascii="宋体" w:hAnsi="宋体" w:eastAsia="宋体" w:cs="宋体"/>
              <w:bCs/>
              <w:kern w:val="2"/>
              <w:szCs w:val="32"/>
              <w:lang w:val="en-US" w:eastAsia="zh-CN" w:bidi="ar-SA"/>
            </w:rPr>
            <w:t>谢</w:t>
          </w:r>
          <w:r>
            <w:tab/>
          </w:r>
          <w:r>
            <w:fldChar w:fldCharType="begin"/>
          </w:r>
          <w:r>
            <w:instrText xml:space="preserve"> PAGEREF _Toc28201 \h </w:instrText>
          </w:r>
          <w:r>
            <w:fldChar w:fldCharType="separate"/>
          </w:r>
          <w:r>
            <w:t>49</w:t>
          </w:r>
          <w:r>
            <w:fldChar w:fldCharType="end"/>
          </w:r>
          <w:r>
            <w:rPr>
              <w:rFonts w:ascii="宋体" w:hAnsi="宋体" w:eastAsia="宋体" w:cs="Times New Roman"/>
              <w:kern w:val="2"/>
            </w:rPr>
            <w:fldChar w:fldCharType="end"/>
          </w:r>
        </w:p>
        <w:p w14:paraId="12AD398D">
          <w:pPr>
            <w:pStyle w:val="16"/>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_Toc19730 </w:instrText>
          </w:r>
          <w:r>
            <w:rPr>
              <w:rFonts w:ascii="宋体" w:hAnsi="宋体" w:eastAsia="宋体" w:cs="Times New Roman"/>
              <w:kern w:val="2"/>
            </w:rPr>
            <w:fldChar w:fldCharType="separate"/>
          </w:r>
          <w:r>
            <w:rPr>
              <w:rFonts w:hint="eastAsia" w:ascii="宋体" w:hAnsi="宋体" w:eastAsia="宋体" w:cs="宋体"/>
              <w:bCs/>
              <w:spacing w:val="1"/>
              <w:kern w:val="2"/>
              <w:szCs w:val="32"/>
              <w:lang w:val="en-US" w:eastAsia="zh-CN" w:bidi="ar-SA"/>
            </w:rPr>
            <w:t>参考文献</w:t>
          </w:r>
          <w:r>
            <w:tab/>
          </w:r>
          <w:r>
            <w:fldChar w:fldCharType="begin"/>
          </w:r>
          <w:r>
            <w:instrText xml:space="preserve"> PAGEREF _Toc19730 \h </w:instrText>
          </w:r>
          <w:r>
            <w:fldChar w:fldCharType="separate"/>
          </w:r>
          <w:r>
            <w:t>50</w:t>
          </w:r>
          <w:r>
            <w:fldChar w:fldCharType="end"/>
          </w:r>
          <w:r>
            <w:rPr>
              <w:rFonts w:ascii="宋体" w:hAnsi="宋体" w:eastAsia="宋体" w:cs="Times New Roman"/>
              <w:kern w:val="2"/>
            </w:rPr>
            <w:fldChar w:fldCharType="end"/>
          </w:r>
        </w:p>
        <w:p w14:paraId="6D8C48A5">
          <w:pPr>
            <w:pStyle w:val="16"/>
            <w:tabs>
              <w:tab w:val="right" w:leader="dot" w:pos="8788"/>
            </w:tabs>
          </w:pPr>
          <w:r>
            <w:rPr>
              <w:rFonts w:ascii="宋体" w:hAnsi="宋体" w:eastAsia="宋体" w:cs="Times New Roman"/>
              <w:kern w:val="2"/>
            </w:rPr>
            <w:fldChar w:fldCharType="begin"/>
          </w:r>
          <w:r>
            <w:rPr>
              <w:rFonts w:ascii="宋体" w:hAnsi="宋体" w:eastAsia="宋体" w:cs="Times New Roman"/>
              <w:kern w:val="2"/>
            </w:rPr>
            <w:instrText xml:space="preserve"> HYPERLINK \l _Toc24473 </w:instrText>
          </w:r>
          <w:r>
            <w:rPr>
              <w:rFonts w:ascii="宋体" w:hAnsi="宋体" w:eastAsia="宋体" w:cs="Times New Roman"/>
              <w:kern w:val="2"/>
            </w:rPr>
            <w:fldChar w:fldCharType="separate"/>
          </w:r>
          <w:r>
            <w:rPr>
              <w:rFonts w:hint="eastAsia" w:ascii="宋体" w:hAnsi="宋体" w:eastAsia="宋体" w:cs="宋体"/>
              <w:bCs/>
              <w:kern w:val="2"/>
              <w:szCs w:val="32"/>
              <w:lang w:val="en-US" w:eastAsia="zh-CN" w:bidi="ar-SA"/>
            </w:rPr>
            <w:t>附</w:t>
          </w:r>
          <w:r>
            <w:rPr>
              <w:rFonts w:hint="eastAsia" w:ascii="宋体" w:hAnsi="宋体" w:eastAsia="宋体" w:cs="宋体"/>
              <w:bCs/>
              <w:spacing w:val="82"/>
              <w:kern w:val="2"/>
              <w:szCs w:val="32"/>
              <w:lang w:val="en-US" w:eastAsia="zh-CN" w:bidi="ar-SA"/>
            </w:rPr>
            <w:t xml:space="preserve">  </w:t>
          </w:r>
          <w:r>
            <w:rPr>
              <w:rFonts w:hint="eastAsia" w:ascii="宋体" w:hAnsi="宋体" w:eastAsia="宋体" w:cs="宋体"/>
              <w:bCs/>
              <w:kern w:val="2"/>
              <w:szCs w:val="32"/>
              <w:lang w:val="en-US" w:eastAsia="zh-CN" w:bidi="ar-SA"/>
            </w:rPr>
            <w:t>录</w:t>
          </w:r>
          <w:r>
            <w:tab/>
          </w:r>
          <w:r>
            <w:fldChar w:fldCharType="begin"/>
          </w:r>
          <w:r>
            <w:instrText xml:space="preserve"> PAGEREF _Toc24473 \h </w:instrText>
          </w:r>
          <w:r>
            <w:fldChar w:fldCharType="separate"/>
          </w:r>
          <w:r>
            <w:t>52</w:t>
          </w:r>
          <w:r>
            <w:fldChar w:fldCharType="end"/>
          </w:r>
          <w:r>
            <w:rPr>
              <w:rFonts w:ascii="宋体" w:hAnsi="宋体" w:eastAsia="宋体" w:cs="Times New Roman"/>
              <w:kern w:val="2"/>
            </w:rPr>
            <w:fldChar w:fldCharType="end"/>
          </w:r>
        </w:p>
        <w:p w14:paraId="795166F4">
          <w:pPr>
            <w:tabs>
              <w:tab w:val="right" w:leader="dot" w:pos="8788"/>
              <w:tab w:val="clear" w:pos="377"/>
            </w:tabs>
            <w:spacing w:line="360" w:lineRule="auto"/>
            <w:rPr>
              <w:rFonts w:ascii="宋体" w:hAnsi="宋体"/>
              <w:sz w:val="24"/>
            </w:rPr>
            <w:sectPr>
              <w:footerReference r:id="rId17" w:type="default"/>
              <w:pgSz w:w="11905" w:h="16838"/>
              <w:pgMar w:top="1417" w:right="1417" w:bottom="1417" w:left="1417" w:header="851" w:footer="850" w:gutter="283"/>
              <w:pgNumType w:fmt="upperRoman"/>
              <w:cols w:space="0" w:num="1"/>
              <w:docGrid w:type="lines" w:linePitch="333" w:charSpace="0"/>
            </w:sectPr>
          </w:pPr>
          <w:r>
            <w:rPr>
              <w:rFonts w:ascii="宋体" w:hAnsi="宋体" w:eastAsia="宋体" w:cs="Times New Roman"/>
              <w:kern w:val="2"/>
            </w:rPr>
            <w:fldChar w:fldCharType="end"/>
          </w:r>
        </w:p>
      </w:sdtContent>
    </w:sdt>
    <w:p w14:paraId="3062B594">
      <w:pPr>
        <w:keepNext/>
        <w:keepLines/>
        <w:pageBreakBefore w:val="0"/>
        <w:widowControl w:val="0"/>
        <w:numPr>
          <w:ilvl w:val="0"/>
          <w:numId w:val="1"/>
        </w:numPr>
        <w:kinsoku/>
        <w:wordWrap/>
        <w:overflowPunct/>
        <w:topLinePunct w:val="0"/>
        <w:autoSpaceDE/>
        <w:autoSpaceDN/>
        <w:bidi w:val="0"/>
        <w:adjustRightInd/>
        <w:snapToGrid/>
        <w:spacing w:before="0" w:after="0" w:line="400" w:lineRule="exact"/>
        <w:ind w:left="0" w:leftChars="0" w:firstLine="602" w:firstLineChars="200"/>
        <w:jc w:val="left"/>
        <w:textAlignment w:val="auto"/>
        <w:outlineLvl w:val="0"/>
        <w:rPr>
          <w:rFonts w:hint="eastAsia" w:ascii="宋体" w:hAnsi="宋体" w:eastAsia="宋体" w:cs="Times New Roman"/>
          <w:b/>
          <w:kern w:val="44"/>
          <w:sz w:val="30"/>
          <w:szCs w:val="30"/>
          <w:lang w:val="en-US" w:eastAsia="zh-CN" w:bidi="ar-SA"/>
        </w:rPr>
      </w:pPr>
      <w:bookmarkStart w:id="11" w:name="_Toc31257"/>
      <w:r>
        <w:rPr>
          <w:rFonts w:hint="eastAsia" w:ascii="宋体" w:hAnsi="宋体" w:eastAsia="宋体" w:cs="Times New Roman"/>
          <w:b/>
          <w:kern w:val="44"/>
          <w:sz w:val="30"/>
          <w:szCs w:val="30"/>
          <w:lang w:val="en-US" w:eastAsia="zh-CN" w:bidi="ar-SA"/>
        </w:rPr>
        <w:t>建筑现状与性能模拟分析</w:t>
      </w:r>
      <w:bookmarkEnd w:id="11"/>
    </w:p>
    <w:p w14:paraId="03B51689">
      <w:pPr>
        <w:widowControl w:val="0"/>
        <w:tabs>
          <w:tab w:val="left" w:pos="3472"/>
          <w:tab w:val="clear" w:pos="377"/>
        </w:tabs>
        <w:spacing w:line="400" w:lineRule="exact"/>
        <w:ind w:firstLine="472" w:firstLineChars="200"/>
        <w:rPr>
          <w:rFonts w:ascii="宋体" w:hAnsi="宋体" w:eastAsia="宋体" w:cs="Times New Roman"/>
          <w:b/>
          <w:kern w:val="44"/>
          <w:sz w:val="30"/>
          <w:szCs w:val="30"/>
          <w:lang w:val="en-US" w:eastAsia="zh-CN" w:bidi="ar-SA"/>
        </w:rPr>
      </w:pPr>
      <w:r>
        <w:rPr>
          <w:rFonts w:hint="eastAsia" w:ascii="宋体" w:hAnsi="宋体" w:eastAsia="宋体" w:cs="Times New Roman"/>
          <w:spacing w:val="-2"/>
          <w:kern w:val="2"/>
          <w:sz w:val="24"/>
          <w:lang w:val="en-US" w:eastAsia="zh-CN"/>
        </w:rPr>
        <w:t>基于设计CAD图纸，对建筑的空间布局、构造做法及材料参数进行梳理，并以此为基础建立模型进行性能模拟分析。</w:t>
      </w:r>
    </w:p>
    <w:p w14:paraId="5C1BB70A">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ascii="宋体" w:hAnsi="宋体" w:eastAsia="宋体" w:cs="Arial"/>
          <w:b/>
          <w:bCs/>
          <w:iCs/>
          <w:color w:val="000000"/>
          <w:kern w:val="2"/>
          <w:sz w:val="28"/>
          <w:szCs w:val="24"/>
          <w:lang w:val="en-US" w:eastAsia="zh-CN" w:bidi="ar-SA"/>
        </w:rPr>
      </w:pPr>
      <w:bookmarkStart w:id="12" w:name="_Toc32414"/>
      <w:r>
        <w:rPr>
          <w:rFonts w:hint="eastAsia" w:ascii="宋体" w:hAnsi="宋体" w:eastAsia="宋体" w:cs="Arial"/>
          <w:b/>
          <w:bCs/>
          <w:iCs/>
          <w:color w:val="000000"/>
          <w:kern w:val="2"/>
          <w:sz w:val="28"/>
          <w:szCs w:val="24"/>
          <w:lang w:val="en-US" w:eastAsia="zh-CN" w:bidi="ar-SA"/>
        </w:rPr>
        <w:t>模型建立</w:t>
      </w:r>
      <w:bookmarkEnd w:id="12"/>
    </w:p>
    <w:p w14:paraId="55F2A203">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ascii="宋体" w:hAnsi="宋体" w:eastAsia="宋体" w:cs="Arial"/>
          <w:b/>
          <w:bCs/>
          <w:kern w:val="2"/>
          <w:sz w:val="24"/>
          <w:szCs w:val="21"/>
          <w:lang w:val="en-US" w:eastAsia="zh-CN" w:bidi="ar-SA"/>
        </w:rPr>
      </w:pPr>
      <w:bookmarkStart w:id="13" w:name="_Toc4342"/>
      <w:r>
        <w:rPr>
          <w:rFonts w:hint="eastAsia" w:ascii="宋体" w:hAnsi="宋体" w:eastAsia="宋体" w:cs="Arial"/>
          <w:b/>
          <w:bCs/>
          <w:kern w:val="2"/>
          <w:sz w:val="24"/>
          <w:szCs w:val="21"/>
          <w:lang w:val="en-US" w:eastAsia="zh-CN" w:bidi="ar-SA"/>
        </w:rPr>
        <w:t>研究对象</w:t>
      </w:r>
      <w:bookmarkEnd w:id="13"/>
    </w:p>
    <w:p w14:paraId="72189F0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eastAsia="zh-CN"/>
        </w:rPr>
      </w:pPr>
      <w:r>
        <w:rPr>
          <w:rFonts w:hint="eastAsia" w:ascii="宋体" w:hAnsi="宋体" w:eastAsia="宋体" w:cs="Times New Roman"/>
          <w:spacing w:val="-2"/>
          <w:kern w:val="2"/>
          <w:sz w:val="24"/>
        </w:rPr>
        <w:t>项目名称：</w:t>
      </w:r>
      <w:r>
        <w:rPr>
          <w:rFonts w:hint="eastAsia" w:ascii="宋体" w:hAnsi="宋体" w:cs="Times New Roman"/>
          <w:spacing w:val="-2"/>
          <w:kern w:val="2"/>
          <w:sz w:val="24"/>
          <w:lang w:eastAsia="zh-CN"/>
        </w:rPr>
        <w:t>安徽省安庆市宿松县程集中学教学楼；</w:t>
      </w:r>
    </w:p>
    <w:p w14:paraId="15807CA0">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eastAsia="zh-CN"/>
        </w:rPr>
      </w:pPr>
      <w:r>
        <w:rPr>
          <w:rFonts w:hint="eastAsia" w:ascii="宋体" w:hAnsi="宋体" w:eastAsia="宋体" w:cs="Times New Roman"/>
          <w:spacing w:val="-2"/>
          <w:kern w:val="2"/>
          <w:sz w:val="24"/>
        </w:rPr>
        <w:t>建设地点：</w:t>
      </w:r>
      <w:r>
        <w:rPr>
          <w:rFonts w:hint="eastAsia" w:ascii="宋体" w:hAnsi="宋体" w:cs="Times New Roman"/>
          <w:spacing w:val="-2"/>
          <w:kern w:val="2"/>
          <w:sz w:val="24"/>
          <w:lang w:val="en-US" w:eastAsia="zh-CN"/>
        </w:rPr>
        <w:t>安徽省安庆市</w:t>
      </w:r>
      <w:r>
        <w:rPr>
          <w:rFonts w:hint="eastAsia" w:ascii="宋体" w:hAnsi="宋体" w:eastAsia="宋体" w:cs="Times New Roman"/>
          <w:spacing w:val="-2"/>
          <w:kern w:val="2"/>
          <w:sz w:val="24"/>
        </w:rPr>
        <w:t>，气候</w:t>
      </w:r>
      <w:r>
        <w:rPr>
          <w:rFonts w:hint="eastAsia" w:ascii="宋体" w:hAnsi="宋体" w:cs="Times New Roman"/>
          <w:spacing w:val="-2"/>
          <w:kern w:val="2"/>
          <w:sz w:val="24"/>
          <w:lang w:val="en-US" w:eastAsia="zh-CN"/>
        </w:rPr>
        <w:t>区</w:t>
      </w:r>
      <w:r>
        <w:rPr>
          <w:rFonts w:hint="eastAsia" w:ascii="宋体" w:hAnsi="宋体" w:eastAsia="宋体" w:cs="Times New Roman"/>
          <w:spacing w:val="-2"/>
          <w:kern w:val="2"/>
          <w:sz w:val="24"/>
        </w:rPr>
        <w:t>属于夏热冬冷A区</w:t>
      </w:r>
      <w:r>
        <w:rPr>
          <w:rFonts w:hint="eastAsia" w:ascii="宋体" w:hAnsi="宋体" w:cs="Times New Roman"/>
          <w:spacing w:val="-2"/>
          <w:kern w:val="2"/>
          <w:sz w:val="24"/>
          <w:lang w:eastAsia="zh-CN"/>
        </w:rPr>
        <w:t>；</w:t>
      </w:r>
    </w:p>
    <w:p w14:paraId="7D865C19">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eastAsia="zh-CN"/>
        </w:rPr>
      </w:pPr>
      <w:r>
        <w:rPr>
          <w:rFonts w:hint="eastAsia" w:ascii="宋体" w:hAnsi="宋体" w:eastAsia="宋体" w:cs="Times New Roman"/>
          <w:spacing w:val="-2"/>
          <w:kern w:val="2"/>
          <w:sz w:val="24"/>
        </w:rPr>
        <w:t>建筑类型：</w:t>
      </w:r>
      <w:r>
        <w:rPr>
          <w:rFonts w:hint="eastAsia" w:ascii="宋体" w:hAnsi="宋体" w:cs="Times New Roman"/>
          <w:spacing w:val="-2"/>
          <w:kern w:val="2"/>
          <w:sz w:val="24"/>
          <w:lang w:val="en-US" w:eastAsia="zh-CN"/>
        </w:rPr>
        <w:t>多</w:t>
      </w:r>
      <w:r>
        <w:rPr>
          <w:rFonts w:hint="eastAsia" w:ascii="宋体" w:hAnsi="宋体" w:eastAsia="宋体" w:cs="Times New Roman"/>
          <w:spacing w:val="-2"/>
          <w:kern w:val="2"/>
          <w:sz w:val="24"/>
        </w:rPr>
        <w:t>层</w:t>
      </w:r>
      <w:r>
        <w:rPr>
          <w:rFonts w:hint="eastAsia" w:ascii="宋体" w:hAnsi="宋体" w:cs="Times New Roman"/>
          <w:spacing w:val="-2"/>
          <w:kern w:val="2"/>
          <w:sz w:val="24"/>
          <w:lang w:val="en-US" w:eastAsia="zh-CN"/>
        </w:rPr>
        <w:t>公共</w:t>
      </w:r>
      <w:r>
        <w:rPr>
          <w:rFonts w:hint="eastAsia" w:ascii="宋体" w:hAnsi="宋体" w:eastAsia="宋体" w:cs="Times New Roman"/>
          <w:spacing w:val="-2"/>
          <w:kern w:val="2"/>
          <w:sz w:val="24"/>
        </w:rPr>
        <w:t>建筑</w:t>
      </w:r>
      <w:r>
        <w:rPr>
          <w:rFonts w:hint="eastAsia" w:ascii="宋体" w:hAnsi="宋体" w:cs="Times New Roman"/>
          <w:spacing w:val="-2"/>
          <w:kern w:val="2"/>
          <w:sz w:val="24"/>
          <w:lang w:eastAsia="zh-CN"/>
        </w:rPr>
        <w:t>；</w:t>
      </w:r>
    </w:p>
    <w:p w14:paraId="63681F0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eastAsia="zh-CN"/>
        </w:rPr>
      </w:pPr>
      <w:r>
        <w:rPr>
          <w:rFonts w:hint="eastAsia" w:ascii="宋体" w:hAnsi="宋体" w:eastAsia="宋体" w:cs="Times New Roman"/>
          <w:spacing w:val="-2"/>
          <w:kern w:val="2"/>
          <w:sz w:val="24"/>
        </w:rPr>
        <w:t>建筑面积：地上建筑面积</w:t>
      </w:r>
      <w:bookmarkStart w:id="14" w:name="地上建筑面积"/>
      <w:r>
        <w:rPr>
          <w:rFonts w:hint="eastAsia" w:ascii="宋体" w:hAnsi="宋体" w:cs="Times New Roman"/>
          <w:spacing w:val="-2"/>
          <w:kern w:val="2"/>
          <w:sz w:val="24"/>
          <w:lang w:val="en-US" w:eastAsia="zh-CN"/>
        </w:rPr>
        <w:t>4321</w:t>
      </w:r>
      <w:bookmarkEnd w:id="14"/>
      <w:r>
        <w:rPr>
          <w:rFonts w:hint="eastAsia" w:ascii="宋体" w:hAnsi="宋体" w:eastAsia="宋体" w:cs="Times New Roman"/>
          <w:spacing w:val="-2"/>
          <w:kern w:val="2"/>
          <w:sz w:val="24"/>
        </w:rPr>
        <w:t>㎡，地下建筑面积0.00㎡</w:t>
      </w:r>
      <w:r>
        <w:rPr>
          <w:rFonts w:hint="eastAsia" w:ascii="宋体" w:hAnsi="宋体" w:cs="Times New Roman"/>
          <w:spacing w:val="-2"/>
          <w:kern w:val="2"/>
          <w:sz w:val="24"/>
          <w:lang w:eastAsia="zh-CN"/>
        </w:rPr>
        <w:t>；</w:t>
      </w:r>
    </w:p>
    <w:p w14:paraId="54BBA11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eastAsia="zh-CN"/>
        </w:rPr>
      </w:pPr>
      <w:r>
        <w:rPr>
          <w:rFonts w:hint="eastAsia" w:ascii="宋体" w:hAnsi="宋体" w:eastAsia="宋体" w:cs="Times New Roman"/>
          <w:spacing w:val="-2"/>
          <w:kern w:val="2"/>
          <w:sz w:val="24"/>
        </w:rPr>
        <w:t>结构形式：</w:t>
      </w:r>
      <w:r>
        <w:rPr>
          <w:rFonts w:hint="eastAsia" w:ascii="宋体" w:hAnsi="宋体" w:cs="Times New Roman"/>
          <w:spacing w:val="-2"/>
          <w:kern w:val="2"/>
          <w:sz w:val="24"/>
          <w:lang w:val="en-US" w:eastAsia="zh-CN"/>
        </w:rPr>
        <w:t>框架</w:t>
      </w:r>
      <w:r>
        <w:rPr>
          <w:rFonts w:hint="eastAsia" w:ascii="宋体" w:hAnsi="宋体" w:eastAsia="宋体" w:cs="Times New Roman"/>
          <w:spacing w:val="-2"/>
          <w:kern w:val="2"/>
          <w:sz w:val="24"/>
        </w:rPr>
        <w:t>结构</w:t>
      </w:r>
      <w:r>
        <w:rPr>
          <w:rFonts w:hint="eastAsia" w:ascii="宋体" w:hAnsi="宋体" w:cs="Times New Roman"/>
          <w:spacing w:val="-2"/>
          <w:kern w:val="2"/>
          <w:sz w:val="24"/>
          <w:lang w:eastAsia="zh-CN"/>
        </w:rPr>
        <w:t>；</w:t>
      </w:r>
    </w:p>
    <w:p w14:paraId="5A98BA34">
      <w:pPr>
        <w:widowControl w:val="0"/>
        <w:tabs>
          <w:tab w:val="left" w:pos="3472"/>
          <w:tab w:val="clear" w:pos="377"/>
        </w:tabs>
        <w:spacing w:line="400" w:lineRule="exact"/>
        <w:ind w:firstLine="472" w:firstLineChars="200"/>
        <w:rPr>
          <w:rFonts w:ascii="等线" w:hAnsi="等线" w:eastAsia="宋体" w:cs="Times New Roman"/>
          <w:sz w:val="21"/>
          <w:szCs w:val="20"/>
          <w:lang w:val="en-GB"/>
        </w:rPr>
      </w:pPr>
      <w:r>
        <w:rPr>
          <w:rFonts w:hint="eastAsia" w:ascii="宋体" w:hAnsi="宋体" w:eastAsia="宋体" w:cs="Times New Roman"/>
          <w:spacing w:val="-2"/>
          <w:kern w:val="2"/>
          <w:sz w:val="24"/>
        </w:rPr>
        <w:t>建筑高度/层数：建筑总高度</w:t>
      </w:r>
      <w:r>
        <w:rPr>
          <w:rFonts w:hint="eastAsia" w:ascii="宋体" w:hAnsi="宋体" w:cs="Times New Roman"/>
          <w:spacing w:val="-2"/>
          <w:kern w:val="2"/>
          <w:sz w:val="24"/>
          <w:lang w:val="en-US" w:eastAsia="zh-CN"/>
        </w:rPr>
        <w:t>1</w:t>
      </w:r>
      <w:r>
        <w:rPr>
          <w:rFonts w:hint="eastAsia" w:ascii="宋体" w:hAnsi="宋体" w:eastAsia="宋体" w:cs="Times New Roman"/>
          <w:spacing w:val="-2"/>
          <w:kern w:val="2"/>
          <w:sz w:val="24"/>
        </w:rPr>
        <w:t>8.</w:t>
      </w:r>
      <w:r>
        <w:rPr>
          <w:rFonts w:hint="eastAsia" w:ascii="宋体" w:hAnsi="宋体" w:cs="Times New Roman"/>
          <w:spacing w:val="-2"/>
          <w:kern w:val="2"/>
          <w:sz w:val="24"/>
          <w:lang w:val="en-US" w:eastAsia="zh-CN"/>
        </w:rPr>
        <w:t>9</w:t>
      </w:r>
      <w:r>
        <w:rPr>
          <w:rFonts w:hint="eastAsia" w:ascii="宋体" w:hAnsi="宋体" w:eastAsia="宋体" w:cs="Times New Roman"/>
          <w:spacing w:val="-2"/>
          <w:kern w:val="2"/>
          <w:sz w:val="24"/>
        </w:rPr>
        <w:t>0m，地上</w:t>
      </w:r>
      <w:r>
        <w:rPr>
          <w:rFonts w:hint="eastAsia" w:ascii="宋体" w:hAnsi="宋体" w:cs="Times New Roman"/>
          <w:spacing w:val="-2"/>
          <w:kern w:val="2"/>
          <w:sz w:val="24"/>
          <w:lang w:val="en-US" w:eastAsia="zh-CN"/>
        </w:rPr>
        <w:t>5</w:t>
      </w:r>
      <w:r>
        <w:rPr>
          <w:rFonts w:hint="eastAsia" w:ascii="宋体" w:hAnsi="宋体" w:eastAsia="宋体" w:cs="Times New Roman"/>
          <w:spacing w:val="-2"/>
          <w:kern w:val="2"/>
          <w:sz w:val="24"/>
        </w:rPr>
        <w:t>层，无地下室</w:t>
      </w:r>
      <w:r>
        <w:rPr>
          <w:rFonts w:hint="eastAsia" w:ascii="宋体" w:hAnsi="宋体" w:cs="Times New Roman"/>
          <w:spacing w:val="-2"/>
          <w:kern w:val="2"/>
          <w:sz w:val="24"/>
          <w:lang w:eastAsia="zh-CN"/>
        </w:rPr>
        <w:t>。</w:t>
      </w:r>
    </w:p>
    <w:p w14:paraId="7CC933C2">
      <w:pPr>
        <w:widowControl w:val="0"/>
        <w:spacing w:line="240" w:lineRule="auto"/>
        <w:jc w:val="center"/>
        <w:rPr>
          <w:rFonts w:ascii="等线" w:hAnsi="等线" w:eastAsia="宋体" w:cs="Times New Roman"/>
          <w:sz w:val="21"/>
          <w:szCs w:val="20"/>
          <w:lang w:val="en-GB"/>
        </w:rPr>
      </w:pPr>
      <w:r>
        <w:rPr>
          <w:rFonts w:ascii="等线" w:hAnsi="等线" w:eastAsia="宋体" w:cs="Times New Roman"/>
          <w:sz w:val="21"/>
          <w:szCs w:val="20"/>
          <w:lang w:val="en-GB"/>
        </w:rPr>
        <w:drawing>
          <wp:inline distT="0" distB="0" distL="0" distR="0">
            <wp:extent cx="5667375" cy="24206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4"/>
                    <a:srcRect t="24100" b="16244"/>
                    <a:stretch>
                      <a:fillRect/>
                    </a:stretch>
                  </pic:blipFill>
                  <pic:spPr>
                    <a:xfrm>
                      <a:off x="0" y="0"/>
                      <a:ext cx="5667375" cy="2420620"/>
                    </a:xfrm>
                    <a:prstGeom prst="rect">
                      <a:avLst/>
                    </a:prstGeom>
                  </pic:spPr>
                </pic:pic>
              </a:graphicData>
            </a:graphic>
          </wp:inline>
        </w:drawing>
      </w:r>
    </w:p>
    <w:p w14:paraId="7C7038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sz w:val="21"/>
          <w:szCs w:val="21"/>
        </w:rPr>
      </w:pPr>
      <w:r>
        <w:rPr>
          <w:rFonts w:hint="eastAsia" w:ascii="宋体" w:hAnsi="宋体" w:cs="Times New Roman"/>
          <w:kern w:val="2"/>
          <w:sz w:val="21"/>
          <w:szCs w:val="21"/>
          <w:lang w:val="en-US" w:eastAsia="zh-CN"/>
        </w:rPr>
        <w:t>（a）</w:t>
      </w:r>
      <w:r>
        <w:rPr>
          <w:rFonts w:hint="eastAsia" w:ascii="宋体" w:hAnsi="宋体" w:eastAsia="宋体" w:cs="Times New Roman"/>
          <w:kern w:val="2"/>
          <w:sz w:val="21"/>
          <w:szCs w:val="21"/>
          <w:lang w:val="en-US" w:eastAsia="zh-CN"/>
        </w:rPr>
        <w:t>西南轴侧图</w:t>
      </w:r>
    </w:p>
    <w:p w14:paraId="644A76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drawing>
          <wp:inline distT="0" distB="0" distL="0" distR="0">
            <wp:extent cx="5667375" cy="213804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5"/>
                    <a:srcRect t="18920" b="28389"/>
                    <a:stretch>
                      <a:fillRect/>
                    </a:stretch>
                  </pic:blipFill>
                  <pic:spPr>
                    <a:xfrm>
                      <a:off x="0" y="0"/>
                      <a:ext cx="5667375" cy="2138045"/>
                    </a:xfrm>
                    <a:prstGeom prst="rect">
                      <a:avLst/>
                    </a:prstGeom>
                  </pic:spPr>
                </pic:pic>
              </a:graphicData>
            </a:graphic>
          </wp:inline>
        </w:drawing>
      </w:r>
    </w:p>
    <w:p w14:paraId="3234628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Times New Roman"/>
          <w:kern w:val="2"/>
          <w:sz w:val="21"/>
          <w:szCs w:val="21"/>
          <w:lang w:val="en-US" w:eastAsia="zh-CN"/>
        </w:rPr>
      </w:pPr>
      <w:r>
        <w:rPr>
          <w:rFonts w:hint="eastAsia" w:ascii="宋体" w:hAnsi="宋体" w:cs="Times New Roman"/>
          <w:kern w:val="2"/>
          <w:sz w:val="21"/>
          <w:szCs w:val="21"/>
          <w:lang w:val="en-US" w:eastAsia="zh-CN"/>
        </w:rPr>
        <w:t>（b）东北轴侧图</w:t>
      </w:r>
    </w:p>
    <w:p w14:paraId="5560476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1"/>
          <w:szCs w:val="24"/>
          <w:lang w:val="en-US" w:eastAsia="zh-CN"/>
        </w:rPr>
      </w:pPr>
      <w:r>
        <w:rPr>
          <w:rFonts w:hint="eastAsia" w:ascii="宋体" w:hAnsi="宋体" w:eastAsia="宋体" w:cs="Times New Roman"/>
          <w:kern w:val="2"/>
          <w:sz w:val="21"/>
          <w:szCs w:val="24"/>
          <w:lang w:val="en-US" w:eastAsia="zh-CN"/>
        </w:rPr>
        <w:t>图1-1  绿建斯维尔模型效果图</w:t>
      </w:r>
    </w:p>
    <w:p w14:paraId="643F426B">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eastAsia="宋体" w:cs="Arial"/>
          <w:b/>
          <w:bCs/>
          <w:kern w:val="2"/>
          <w:sz w:val="24"/>
          <w:szCs w:val="21"/>
          <w:lang w:val="en-US" w:eastAsia="zh-CN" w:bidi="ar-SA"/>
        </w:rPr>
      </w:pPr>
      <w:bookmarkStart w:id="15" w:name="_Toc4709"/>
      <w:r>
        <w:rPr>
          <w:rFonts w:hint="eastAsia" w:ascii="宋体" w:hAnsi="宋体" w:eastAsia="宋体" w:cs="Arial"/>
          <w:b/>
          <w:bCs/>
          <w:kern w:val="2"/>
          <w:sz w:val="24"/>
          <w:szCs w:val="21"/>
          <w:lang w:val="en-US" w:eastAsia="zh-CN" w:bidi="ar-SA"/>
        </w:rPr>
        <w:t>建筑功能布局</w:t>
      </w:r>
      <w:bookmarkEnd w:id="15"/>
    </w:p>
    <w:p w14:paraId="7F82BE62">
      <w:pPr>
        <w:widowControl w:val="0"/>
        <w:spacing w:line="240" w:lineRule="auto"/>
        <w:jc w:val="center"/>
        <w:rPr>
          <w:rFonts w:ascii="等线" w:hAnsi="等线" w:eastAsia="宋体" w:cs="Times New Roman"/>
          <w:sz w:val="21"/>
          <w:szCs w:val="20"/>
          <w:lang w:val="en-GB"/>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4502"/>
        <w:gridCol w:w="4503"/>
      </w:tblGrid>
      <w:tr w14:paraId="00508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502" w:type="dxa"/>
          </w:tcPr>
          <w:p w14:paraId="2E55BF1A">
            <w:pPr>
              <w:widowControl w:val="0"/>
              <w:spacing w:line="240" w:lineRule="auto"/>
              <w:jc w:val="center"/>
              <w:rPr>
                <w:rFonts w:ascii="等线" w:hAnsi="等线" w:eastAsia="宋体" w:cs="Times New Roman"/>
                <w:sz w:val="21"/>
                <w:szCs w:val="20"/>
                <w:vertAlign w:val="baseline"/>
                <w:lang w:val="en-US"/>
              </w:rPr>
            </w:pPr>
            <w:r>
              <w:rPr>
                <w:rFonts w:ascii="等线" w:hAnsi="等线" w:eastAsia="宋体" w:cs="Times New Roman"/>
                <w:sz w:val="21"/>
                <w:szCs w:val="20"/>
                <w:vertAlign w:val="baseline"/>
                <w:lang w:val="en-US"/>
              </w:rPr>
              <w:drawing>
                <wp:inline distT="0" distB="0" distL="0" distR="0">
                  <wp:extent cx="1648460" cy="3357245"/>
                  <wp:effectExtent l="0" t="0" r="889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a:stretch>
                            <a:fillRect/>
                          </a:stretch>
                        </pic:blipFill>
                        <pic:spPr>
                          <a:xfrm>
                            <a:off x="0" y="0"/>
                            <a:ext cx="1648460" cy="3357245"/>
                          </a:xfrm>
                          <a:prstGeom prst="rect">
                            <a:avLst/>
                          </a:prstGeom>
                        </pic:spPr>
                      </pic:pic>
                    </a:graphicData>
                  </a:graphic>
                </wp:inline>
              </w:drawing>
            </w:r>
          </w:p>
        </w:tc>
        <w:tc>
          <w:tcPr>
            <w:tcW w:w="4503" w:type="dxa"/>
          </w:tcPr>
          <w:p w14:paraId="13B02427">
            <w:pPr>
              <w:widowControl w:val="0"/>
              <w:spacing w:line="240" w:lineRule="auto"/>
              <w:jc w:val="center"/>
              <w:rPr>
                <w:rFonts w:ascii="等线" w:hAnsi="等线" w:eastAsia="宋体" w:cs="Times New Roman"/>
                <w:sz w:val="21"/>
                <w:szCs w:val="20"/>
                <w:vertAlign w:val="baseline"/>
                <w:lang w:val="en-US"/>
              </w:rPr>
            </w:pPr>
            <w:r>
              <w:rPr>
                <w:rFonts w:ascii="等线" w:hAnsi="等线" w:eastAsia="宋体" w:cs="Times New Roman"/>
                <w:sz w:val="21"/>
                <w:szCs w:val="20"/>
                <w:vertAlign w:val="baseline"/>
                <w:lang w:val="en-US"/>
              </w:rPr>
              <w:drawing>
                <wp:inline distT="0" distB="0" distL="0" distR="0">
                  <wp:extent cx="1571625" cy="3208655"/>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tretch>
                            <a:fillRect/>
                          </a:stretch>
                        </pic:blipFill>
                        <pic:spPr>
                          <a:xfrm>
                            <a:off x="0" y="0"/>
                            <a:ext cx="1571625" cy="3208655"/>
                          </a:xfrm>
                          <a:prstGeom prst="rect">
                            <a:avLst/>
                          </a:prstGeom>
                        </pic:spPr>
                      </pic:pic>
                    </a:graphicData>
                  </a:graphic>
                </wp:inline>
              </w:drawing>
            </w:r>
          </w:p>
        </w:tc>
      </w:tr>
      <w:tr w14:paraId="38082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502" w:type="dxa"/>
          </w:tcPr>
          <w:p w14:paraId="475874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宋体" w:cs="Times New Roman"/>
                <w:sz w:val="21"/>
                <w:szCs w:val="20"/>
                <w:vertAlign w:val="baseline"/>
                <w:lang w:val="en-US"/>
              </w:rPr>
            </w:pPr>
            <w:r>
              <w:rPr>
                <w:rFonts w:hint="eastAsia" w:ascii="宋体" w:hAnsi="宋体" w:cs="Times New Roman"/>
                <w:kern w:val="2"/>
                <w:sz w:val="21"/>
                <w:szCs w:val="21"/>
                <w:lang w:val="en-US" w:eastAsia="zh-CN"/>
              </w:rPr>
              <w:t>（a）1层平面</w:t>
            </w:r>
          </w:p>
        </w:tc>
        <w:tc>
          <w:tcPr>
            <w:tcW w:w="4503" w:type="dxa"/>
          </w:tcPr>
          <w:p w14:paraId="796F62C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宋体" w:cs="Times New Roman"/>
                <w:sz w:val="21"/>
                <w:szCs w:val="20"/>
                <w:vertAlign w:val="baseline"/>
                <w:lang w:val="en-US"/>
              </w:rPr>
            </w:pPr>
            <w:r>
              <w:rPr>
                <w:rFonts w:hint="eastAsia" w:ascii="宋体" w:hAnsi="宋体" w:cs="Times New Roman"/>
                <w:kern w:val="2"/>
                <w:sz w:val="21"/>
                <w:szCs w:val="21"/>
                <w:lang w:val="en-US" w:eastAsia="zh-CN"/>
              </w:rPr>
              <w:t>（b）2层平面</w:t>
            </w:r>
          </w:p>
        </w:tc>
      </w:tr>
      <w:tr w14:paraId="447BE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502" w:type="dxa"/>
          </w:tcPr>
          <w:p w14:paraId="55670788">
            <w:pPr>
              <w:widowControl w:val="0"/>
              <w:spacing w:line="240" w:lineRule="auto"/>
              <w:jc w:val="center"/>
              <w:rPr>
                <w:rFonts w:ascii="等线" w:hAnsi="等线" w:eastAsia="宋体" w:cs="Times New Roman"/>
                <w:sz w:val="21"/>
                <w:szCs w:val="20"/>
                <w:vertAlign w:val="baseline"/>
                <w:lang w:val="en-US"/>
              </w:rPr>
            </w:pPr>
            <w:r>
              <w:rPr>
                <w:rFonts w:ascii="等线" w:hAnsi="等线" w:eastAsia="宋体" w:cs="Times New Roman"/>
                <w:sz w:val="21"/>
                <w:szCs w:val="20"/>
                <w:vertAlign w:val="baseline"/>
                <w:lang w:val="en-US"/>
              </w:rPr>
              <w:drawing>
                <wp:inline distT="0" distB="0" distL="0" distR="0">
                  <wp:extent cx="1816100" cy="3707130"/>
                  <wp:effectExtent l="0" t="0" r="3175"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8"/>
                          <a:stretch>
                            <a:fillRect/>
                          </a:stretch>
                        </pic:blipFill>
                        <pic:spPr>
                          <a:xfrm>
                            <a:off x="0" y="0"/>
                            <a:ext cx="1816100" cy="3707130"/>
                          </a:xfrm>
                          <a:prstGeom prst="rect">
                            <a:avLst/>
                          </a:prstGeom>
                        </pic:spPr>
                      </pic:pic>
                    </a:graphicData>
                  </a:graphic>
                </wp:inline>
              </w:drawing>
            </w:r>
          </w:p>
        </w:tc>
        <w:tc>
          <w:tcPr>
            <w:tcW w:w="4503" w:type="dxa"/>
          </w:tcPr>
          <w:p w14:paraId="6EA58E02">
            <w:pPr>
              <w:widowControl w:val="0"/>
              <w:spacing w:line="240" w:lineRule="auto"/>
              <w:jc w:val="center"/>
              <w:rPr>
                <w:rFonts w:ascii="等线" w:hAnsi="等线" w:eastAsia="宋体" w:cs="Times New Roman"/>
                <w:sz w:val="21"/>
                <w:szCs w:val="20"/>
                <w:vertAlign w:val="baseline"/>
                <w:lang w:val="en-US"/>
              </w:rPr>
            </w:pPr>
            <w:r>
              <w:rPr>
                <w:rFonts w:ascii="等线" w:hAnsi="等线" w:eastAsia="宋体" w:cs="Times New Roman"/>
                <w:sz w:val="21"/>
                <w:szCs w:val="20"/>
                <w:vertAlign w:val="baseline"/>
                <w:lang w:val="en-US"/>
              </w:rPr>
              <w:drawing>
                <wp:inline distT="0" distB="0" distL="0" distR="0">
                  <wp:extent cx="1808480" cy="3691890"/>
                  <wp:effectExtent l="0" t="0" r="127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9"/>
                          <a:stretch>
                            <a:fillRect/>
                          </a:stretch>
                        </pic:blipFill>
                        <pic:spPr>
                          <a:xfrm>
                            <a:off x="0" y="0"/>
                            <a:ext cx="1808480" cy="3691890"/>
                          </a:xfrm>
                          <a:prstGeom prst="rect">
                            <a:avLst/>
                          </a:prstGeom>
                        </pic:spPr>
                      </pic:pic>
                    </a:graphicData>
                  </a:graphic>
                </wp:inline>
              </w:drawing>
            </w:r>
          </w:p>
        </w:tc>
      </w:tr>
      <w:tr w14:paraId="5F8F2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502" w:type="dxa"/>
          </w:tcPr>
          <w:p w14:paraId="15BEE52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宋体" w:cs="Times New Roman"/>
                <w:sz w:val="21"/>
                <w:szCs w:val="20"/>
                <w:vertAlign w:val="baseline"/>
                <w:lang w:val="en-US"/>
              </w:rPr>
            </w:pPr>
            <w:r>
              <w:rPr>
                <w:rFonts w:hint="eastAsia" w:ascii="宋体" w:hAnsi="宋体" w:cs="Times New Roman"/>
                <w:kern w:val="2"/>
                <w:sz w:val="21"/>
                <w:szCs w:val="21"/>
                <w:lang w:val="en-US" w:eastAsia="zh-CN"/>
              </w:rPr>
              <w:t>（c）3层平面</w:t>
            </w:r>
          </w:p>
        </w:tc>
        <w:tc>
          <w:tcPr>
            <w:tcW w:w="4503" w:type="dxa"/>
          </w:tcPr>
          <w:p w14:paraId="2D79D3D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等线" w:hAnsi="等线" w:eastAsia="宋体" w:cs="Times New Roman"/>
                <w:sz w:val="21"/>
                <w:szCs w:val="20"/>
                <w:vertAlign w:val="baseline"/>
                <w:lang w:val="en-US"/>
              </w:rPr>
            </w:pPr>
            <w:r>
              <w:rPr>
                <w:rFonts w:hint="eastAsia" w:ascii="宋体" w:hAnsi="宋体" w:cs="Times New Roman"/>
                <w:kern w:val="2"/>
                <w:sz w:val="21"/>
                <w:szCs w:val="21"/>
                <w:lang w:val="en-US" w:eastAsia="zh-CN"/>
              </w:rPr>
              <w:t>（d）4层平面</w:t>
            </w:r>
          </w:p>
        </w:tc>
      </w:tr>
    </w:tbl>
    <w:p w14:paraId="10DF98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1"/>
          <w:szCs w:val="24"/>
          <w:lang w:val="en-US" w:eastAsia="zh-CN"/>
        </w:rPr>
      </w:pPr>
      <w:r>
        <w:rPr>
          <w:rFonts w:hint="eastAsia" w:ascii="宋体" w:hAnsi="宋体" w:eastAsia="宋体" w:cs="Times New Roman"/>
          <w:kern w:val="2"/>
          <w:sz w:val="21"/>
          <w:szCs w:val="24"/>
          <w:lang w:val="en-US" w:eastAsia="zh-CN"/>
        </w:rPr>
        <w:t>图1-2  建筑平面图</w:t>
      </w:r>
    </w:p>
    <w:p w14:paraId="5D1C8EF1">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16" w:name="_Toc23587"/>
      <w:r>
        <w:rPr>
          <w:rFonts w:hint="eastAsia" w:ascii="宋体" w:hAnsi="宋体" w:eastAsia="宋体" w:cs="Arial"/>
          <w:b/>
          <w:bCs/>
          <w:iCs/>
          <w:color w:val="000000"/>
          <w:kern w:val="2"/>
          <w:sz w:val="28"/>
          <w:szCs w:val="24"/>
          <w:lang w:val="en-US" w:eastAsia="zh-CN" w:bidi="ar-SA"/>
        </w:rPr>
        <w:t>围护结构设置</w:t>
      </w:r>
      <w:bookmarkEnd w:id="16"/>
    </w:p>
    <w:p w14:paraId="4A40D5A9">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eastAsia="宋体" w:cs="Arial"/>
          <w:b/>
          <w:bCs/>
          <w:kern w:val="2"/>
          <w:sz w:val="24"/>
          <w:szCs w:val="21"/>
          <w:lang w:val="en-US" w:eastAsia="zh-CN" w:bidi="ar-SA"/>
        </w:rPr>
      </w:pPr>
      <w:bookmarkStart w:id="17" w:name="_Toc28280"/>
      <w:r>
        <w:rPr>
          <w:rFonts w:hint="eastAsia" w:ascii="宋体" w:hAnsi="宋体" w:eastAsia="宋体" w:cs="Arial"/>
          <w:b/>
          <w:bCs/>
          <w:kern w:val="2"/>
          <w:sz w:val="24"/>
          <w:szCs w:val="21"/>
          <w:lang w:val="en-US" w:eastAsia="zh-CN" w:bidi="ar-SA"/>
        </w:rPr>
        <w:t>外墙构造</w:t>
      </w:r>
      <w:bookmarkEnd w:id="17"/>
    </w:p>
    <w:p w14:paraId="76876CE2">
      <w:pPr>
        <w:widowControl w:val="0"/>
        <w:tabs>
          <w:tab w:val="left" w:pos="3472"/>
          <w:tab w:val="clear" w:pos="377"/>
        </w:tabs>
        <w:spacing w:line="400" w:lineRule="exact"/>
        <w:ind w:firstLine="472" w:firstLineChars="200"/>
        <w:rPr>
          <w:rFonts w:hint="eastAsia" w:ascii="宋体" w:hAnsi="宋体" w:eastAsia="宋体" w:cs="Arial"/>
          <w:b/>
          <w:bCs/>
          <w:kern w:val="2"/>
          <w:sz w:val="24"/>
          <w:szCs w:val="21"/>
          <w:lang w:val="en-US" w:eastAsia="zh-CN" w:bidi="ar-SA"/>
        </w:rPr>
      </w:pPr>
      <w:r>
        <w:rPr>
          <w:rFonts w:hint="eastAsia" w:ascii="宋体" w:hAnsi="宋体" w:eastAsia="宋体" w:cs="Times New Roman"/>
          <w:spacing w:val="-2"/>
          <w:kern w:val="2"/>
          <w:sz w:val="24"/>
          <w:lang w:val="en-US" w:eastAsia="zh-CN"/>
        </w:rPr>
        <w:t>外墙</w:t>
      </w:r>
      <w:r>
        <w:rPr>
          <w:rFonts w:hint="eastAsia" w:ascii="宋体" w:hAnsi="宋体" w:cs="Times New Roman"/>
          <w:spacing w:val="-2"/>
          <w:kern w:val="2"/>
          <w:sz w:val="24"/>
          <w:lang w:val="en-US" w:eastAsia="zh-CN"/>
        </w:rPr>
        <w:t>构造及</w:t>
      </w:r>
      <w:r>
        <w:rPr>
          <w:rFonts w:hint="eastAsia" w:ascii="宋体" w:hAnsi="宋体" w:eastAsia="宋体" w:cs="Times New Roman"/>
          <w:spacing w:val="-2"/>
          <w:kern w:val="2"/>
          <w:sz w:val="24"/>
          <w:lang w:val="en-US" w:eastAsia="zh-CN"/>
        </w:rPr>
        <w:t>热工性能计算（以填充墙为例）如表</w:t>
      </w:r>
      <w:r>
        <w:rPr>
          <w:rFonts w:hint="eastAsia" w:ascii="宋体" w:hAnsi="宋体" w:cs="Times New Roman"/>
          <w:spacing w:val="-2"/>
          <w:kern w:val="2"/>
          <w:sz w:val="24"/>
          <w:lang w:val="en-US" w:eastAsia="zh-CN"/>
        </w:rPr>
        <w:t>1</w:t>
      </w:r>
      <w:r>
        <w:rPr>
          <w:rFonts w:hint="eastAsia" w:ascii="宋体" w:hAnsi="宋体" w:eastAsia="宋体" w:cs="Times New Roman"/>
          <w:spacing w:val="-2"/>
          <w:kern w:val="2"/>
          <w:sz w:val="24"/>
          <w:lang w:val="en-US" w:eastAsia="zh-CN"/>
        </w:rPr>
        <w:t>-</w:t>
      </w:r>
      <w:r>
        <w:rPr>
          <w:rFonts w:hint="eastAsia" w:ascii="宋体" w:hAnsi="宋体" w:cs="Times New Roman"/>
          <w:spacing w:val="-2"/>
          <w:kern w:val="2"/>
          <w:sz w:val="24"/>
          <w:lang w:val="en-US" w:eastAsia="zh-CN"/>
        </w:rPr>
        <w:t>1</w:t>
      </w:r>
      <w:r>
        <w:rPr>
          <w:rFonts w:hint="eastAsia" w:ascii="宋体" w:hAnsi="宋体" w:eastAsia="宋体" w:cs="Times New Roman"/>
          <w:spacing w:val="-2"/>
          <w:kern w:val="2"/>
          <w:sz w:val="24"/>
          <w:lang w:val="en-US" w:eastAsia="zh-CN"/>
        </w:rPr>
        <w:t>所示。</w:t>
      </w:r>
    </w:p>
    <w:p w14:paraId="1A86FA45">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表1-1  外墙构造</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3224"/>
        <w:gridCol w:w="813"/>
        <w:gridCol w:w="1032"/>
        <w:gridCol w:w="1057"/>
        <w:gridCol w:w="814"/>
        <w:gridCol w:w="1032"/>
        <w:gridCol w:w="1029"/>
      </w:tblGrid>
      <w:tr w14:paraId="34BB4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jc w:val="center"/>
        </w:trPr>
        <w:tc>
          <w:tcPr>
            <w:tcW w:w="1793" w:type="pct"/>
            <w:vMerge w:val="restart"/>
            <w:tcBorders>
              <w:top w:val="single" w:color="000000" w:sz="4" w:space="0"/>
              <w:left w:val="nil"/>
              <w:bottom w:val="single" w:color="000000" w:sz="4" w:space="0"/>
              <w:right w:val="single" w:color="000000" w:sz="4" w:space="0"/>
              <w:tl2br w:val="nil"/>
            </w:tcBorders>
            <w:shd w:val="clear" w:color="auto" w:fill="FFFFFF"/>
            <w:vAlign w:val="center"/>
          </w:tcPr>
          <w:p w14:paraId="03096E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材料名称</w:t>
            </w:r>
            <w:r>
              <w:rPr>
                <w:rFonts w:hint="eastAsia" w:ascii="宋体" w:hAnsi="宋体" w:eastAsia="宋体" w:cs="Courier New"/>
                <w:b w:val="0"/>
                <w:color w:val="000000"/>
                <w:kern w:val="0"/>
                <w:sz w:val="21"/>
                <w:szCs w:val="24"/>
                <w:lang w:val="en-US" w:eastAsia="zh-CN" w:bidi="ar-SA"/>
              </w:rPr>
              <w:br w:type="textWrapping"/>
            </w:r>
            <w:r>
              <w:rPr>
                <w:rFonts w:hint="eastAsia" w:ascii="宋体" w:hAnsi="宋体" w:eastAsia="宋体" w:cs="Courier New"/>
                <w:b w:val="0"/>
                <w:color w:val="000000"/>
                <w:kern w:val="0"/>
                <w:sz w:val="21"/>
                <w:szCs w:val="24"/>
                <w:lang w:val="en-US" w:eastAsia="zh-CN" w:bidi="ar-SA"/>
              </w:rPr>
              <w:t>（由外到内）</w:t>
            </w:r>
          </w:p>
        </w:tc>
        <w:tc>
          <w:tcPr>
            <w:tcW w:w="454" w:type="pct"/>
            <w:tcBorders>
              <w:top w:val="single" w:color="000000" w:sz="4" w:space="0"/>
              <w:left w:val="single" w:color="000000" w:sz="4" w:space="0"/>
              <w:bottom w:val="single" w:color="000000" w:sz="4" w:space="0"/>
              <w:right w:val="nil"/>
            </w:tcBorders>
            <w:shd w:val="clear" w:color="auto" w:fill="FFFFFF"/>
            <w:vAlign w:val="center"/>
          </w:tcPr>
          <w:p w14:paraId="21DBECA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厚度δ</w:t>
            </w:r>
          </w:p>
        </w:tc>
        <w:tc>
          <w:tcPr>
            <w:tcW w:w="575" w:type="pct"/>
            <w:tcBorders>
              <w:top w:val="single" w:color="000000" w:sz="4" w:space="0"/>
              <w:left w:val="nil"/>
              <w:bottom w:val="single" w:color="000000" w:sz="4" w:space="0"/>
              <w:right w:val="single" w:color="000000" w:sz="4" w:space="0"/>
            </w:tcBorders>
            <w:shd w:val="clear" w:color="auto" w:fill="FFFFFF"/>
            <w:vAlign w:val="center"/>
          </w:tcPr>
          <w:p w14:paraId="080FBCB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导热系数λ</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A4AE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蓄热系数S</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2850D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修正</w:t>
            </w:r>
            <w:r>
              <w:rPr>
                <w:rFonts w:hint="eastAsia" w:ascii="宋体" w:hAnsi="宋体" w:eastAsia="宋体" w:cs="Courier New"/>
                <w:b w:val="0"/>
                <w:color w:val="000000"/>
                <w:kern w:val="0"/>
                <w:sz w:val="21"/>
                <w:szCs w:val="24"/>
                <w:lang w:val="en-US" w:eastAsia="zh-CN" w:bidi="ar-SA"/>
              </w:rPr>
              <w:br w:type="textWrapping"/>
            </w:r>
            <w:r>
              <w:rPr>
                <w:rFonts w:hint="eastAsia" w:ascii="宋体" w:hAnsi="宋体" w:eastAsia="宋体" w:cs="Courier New"/>
                <w:b w:val="0"/>
                <w:color w:val="000000"/>
                <w:kern w:val="0"/>
                <w:sz w:val="21"/>
                <w:szCs w:val="24"/>
                <w:lang w:val="en-US" w:eastAsia="zh-CN" w:bidi="ar-SA"/>
              </w:rPr>
              <w:t>系数</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071DB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热阻R</w:t>
            </w: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15E91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热惰性</w:t>
            </w:r>
            <w:r>
              <w:rPr>
                <w:rFonts w:hint="eastAsia" w:ascii="宋体" w:hAnsi="宋体" w:eastAsia="宋体" w:cs="Courier New"/>
                <w:b w:val="0"/>
                <w:color w:val="000000"/>
                <w:kern w:val="0"/>
                <w:sz w:val="21"/>
                <w:szCs w:val="24"/>
                <w:lang w:val="en-US" w:eastAsia="zh-CN" w:bidi="ar-SA"/>
              </w:rPr>
              <w:br w:type="textWrapping"/>
            </w:r>
            <w:r>
              <w:rPr>
                <w:rFonts w:hint="eastAsia" w:ascii="宋体" w:hAnsi="宋体" w:eastAsia="宋体" w:cs="Courier New"/>
                <w:b w:val="0"/>
                <w:color w:val="000000"/>
                <w:kern w:val="0"/>
                <w:sz w:val="21"/>
                <w:szCs w:val="24"/>
                <w:lang w:val="en-US" w:eastAsia="zh-CN" w:bidi="ar-SA"/>
              </w:rPr>
              <w:t>指标</w:t>
            </w:r>
          </w:p>
        </w:tc>
      </w:tr>
      <w:tr w14:paraId="0A272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793" w:type="pct"/>
            <w:vMerge w:val="continue"/>
            <w:tcBorders>
              <w:top w:val="single" w:color="000000" w:sz="4" w:space="0"/>
              <w:left w:val="nil"/>
              <w:bottom w:val="single" w:color="000000" w:sz="4" w:space="0"/>
              <w:right w:val="single" w:color="000000" w:sz="4" w:space="0"/>
            </w:tcBorders>
            <w:shd w:val="clear" w:color="auto" w:fill="FFFFFF"/>
            <w:vAlign w:val="center"/>
          </w:tcPr>
          <w:p w14:paraId="3F07563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454" w:type="pct"/>
            <w:tcBorders>
              <w:top w:val="single" w:color="000000" w:sz="4" w:space="0"/>
              <w:left w:val="single" w:color="000000" w:sz="4" w:space="0"/>
              <w:bottom w:val="single" w:color="000000" w:sz="4" w:space="0"/>
              <w:right w:val="nil"/>
            </w:tcBorders>
            <w:shd w:val="clear" w:color="auto" w:fill="FFFFFF"/>
            <w:vAlign w:val="center"/>
          </w:tcPr>
          <w:p w14:paraId="27DC17B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(mm)</w:t>
            </w:r>
          </w:p>
        </w:tc>
        <w:tc>
          <w:tcPr>
            <w:tcW w:w="575" w:type="pct"/>
            <w:tcBorders>
              <w:top w:val="single" w:color="000000" w:sz="4" w:space="0"/>
              <w:left w:val="nil"/>
              <w:bottom w:val="single" w:color="000000" w:sz="4" w:space="0"/>
              <w:right w:val="single" w:color="000000" w:sz="4" w:space="0"/>
            </w:tcBorders>
            <w:shd w:val="clear" w:color="auto" w:fill="FFFFFF"/>
            <w:vAlign w:val="center"/>
          </w:tcPr>
          <w:p w14:paraId="334AF5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W/(m.K)</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5467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W/(㎡.K)</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9A5DC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α</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2F036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(㎡K)/W</w:t>
            </w: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33768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D=R*S</w:t>
            </w:r>
          </w:p>
        </w:tc>
      </w:tr>
      <w:tr w14:paraId="4981F8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793" w:type="pct"/>
            <w:tcBorders>
              <w:top w:val="single" w:color="000000" w:sz="4" w:space="0"/>
              <w:left w:val="nil"/>
              <w:bottom w:val="single" w:color="000000" w:sz="4" w:space="0"/>
              <w:right w:val="single" w:color="000000" w:sz="4" w:space="0"/>
            </w:tcBorders>
            <w:shd w:val="clear" w:color="auto" w:fill="FFFFFF"/>
            <w:vAlign w:val="center"/>
          </w:tcPr>
          <w:p w14:paraId="30AF310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涂料饰面(忽略保温性能)</w:t>
            </w:r>
          </w:p>
        </w:tc>
        <w:tc>
          <w:tcPr>
            <w:tcW w:w="454" w:type="pct"/>
            <w:tcBorders>
              <w:top w:val="single" w:color="000000" w:sz="4" w:space="0"/>
              <w:left w:val="single" w:color="000000" w:sz="4" w:space="0"/>
              <w:bottom w:val="single" w:color="000000" w:sz="4" w:space="0"/>
              <w:right w:val="nil"/>
            </w:tcBorders>
            <w:shd w:val="clear" w:color="auto" w:fill="FFFFFF"/>
            <w:vAlign w:val="center"/>
          </w:tcPr>
          <w:p w14:paraId="5FFB451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w:t>
            </w:r>
          </w:p>
        </w:tc>
        <w:tc>
          <w:tcPr>
            <w:tcW w:w="575" w:type="pct"/>
            <w:tcBorders>
              <w:top w:val="single" w:color="000000" w:sz="4" w:space="0"/>
              <w:left w:val="nil"/>
              <w:bottom w:val="single" w:color="000000" w:sz="4" w:space="0"/>
              <w:right w:val="single" w:color="000000" w:sz="4" w:space="0"/>
            </w:tcBorders>
            <w:shd w:val="clear" w:color="auto" w:fill="FFFFFF"/>
            <w:vAlign w:val="center"/>
          </w:tcPr>
          <w:p w14:paraId="4797802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5.000</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6E8E1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10.583</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B5A7A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4801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0.000</w:t>
            </w: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E6C96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0.002</w:t>
            </w:r>
          </w:p>
        </w:tc>
      </w:tr>
      <w:tr w14:paraId="62634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793" w:type="pct"/>
            <w:tcBorders>
              <w:top w:val="single" w:color="000000" w:sz="4" w:space="0"/>
              <w:left w:val="nil"/>
              <w:bottom w:val="single" w:color="000000" w:sz="4" w:space="0"/>
              <w:right w:val="single" w:color="000000" w:sz="4" w:space="0"/>
            </w:tcBorders>
            <w:shd w:val="clear" w:color="auto" w:fill="FFFFFF"/>
            <w:vAlign w:val="center"/>
          </w:tcPr>
          <w:p w14:paraId="67E8DF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抗裂砂浆（网格布）</w:t>
            </w:r>
          </w:p>
        </w:tc>
        <w:tc>
          <w:tcPr>
            <w:tcW w:w="454" w:type="pct"/>
            <w:tcBorders>
              <w:top w:val="single" w:color="000000" w:sz="4" w:space="0"/>
              <w:left w:val="single" w:color="000000" w:sz="4" w:space="0"/>
              <w:bottom w:val="single" w:color="000000" w:sz="4" w:space="0"/>
              <w:right w:val="nil"/>
            </w:tcBorders>
            <w:shd w:val="clear" w:color="auto" w:fill="FFFFFF"/>
            <w:vAlign w:val="center"/>
          </w:tcPr>
          <w:p w14:paraId="524BBC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w:t>
            </w:r>
          </w:p>
        </w:tc>
        <w:tc>
          <w:tcPr>
            <w:tcW w:w="575" w:type="pct"/>
            <w:tcBorders>
              <w:top w:val="single" w:color="000000" w:sz="4" w:space="0"/>
              <w:left w:val="nil"/>
              <w:bottom w:val="single" w:color="000000" w:sz="4" w:space="0"/>
              <w:right w:val="single" w:color="000000" w:sz="4" w:space="0"/>
            </w:tcBorders>
            <w:shd w:val="clear" w:color="auto" w:fill="FFFFFF"/>
            <w:vAlign w:val="center"/>
          </w:tcPr>
          <w:p w14:paraId="7906F78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0.930</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D20F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11.306</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71AAD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EBB6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0.006</w:t>
            </w: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48940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0.073</w:t>
            </w:r>
          </w:p>
        </w:tc>
      </w:tr>
      <w:tr w14:paraId="58660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793" w:type="pct"/>
            <w:tcBorders>
              <w:top w:val="single" w:color="000000" w:sz="4" w:space="0"/>
              <w:left w:val="nil"/>
              <w:bottom w:val="single" w:color="000000" w:sz="4" w:space="0"/>
              <w:right w:val="single" w:color="000000" w:sz="4" w:space="0"/>
            </w:tcBorders>
            <w:shd w:val="clear" w:color="auto" w:fill="FFFFFF"/>
            <w:vAlign w:val="center"/>
          </w:tcPr>
          <w:p w14:paraId="76E78F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岩棉板(ρ=60-160)</w:t>
            </w:r>
          </w:p>
        </w:tc>
        <w:tc>
          <w:tcPr>
            <w:tcW w:w="454" w:type="pct"/>
            <w:tcBorders>
              <w:top w:val="single" w:color="000000" w:sz="4" w:space="0"/>
              <w:left w:val="single" w:color="000000" w:sz="4" w:space="0"/>
              <w:bottom w:val="single" w:color="000000" w:sz="4" w:space="0"/>
              <w:right w:val="nil"/>
            </w:tcBorders>
            <w:shd w:val="clear" w:color="auto" w:fill="FFFFFF"/>
            <w:vAlign w:val="center"/>
          </w:tcPr>
          <w:p w14:paraId="7F351AB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w:t>
            </w:r>
          </w:p>
        </w:tc>
        <w:tc>
          <w:tcPr>
            <w:tcW w:w="575" w:type="pct"/>
            <w:tcBorders>
              <w:top w:val="single" w:color="000000" w:sz="4" w:space="0"/>
              <w:left w:val="nil"/>
              <w:bottom w:val="single" w:color="000000" w:sz="4" w:space="0"/>
              <w:right w:val="single" w:color="000000" w:sz="4" w:space="0"/>
            </w:tcBorders>
            <w:shd w:val="clear" w:color="auto" w:fill="FFFFFF"/>
            <w:vAlign w:val="center"/>
          </w:tcPr>
          <w:p w14:paraId="49E925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0.041</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791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0.615</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F172A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1.20</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80B5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0.813</w:t>
            </w: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4D18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0.600</w:t>
            </w:r>
          </w:p>
        </w:tc>
      </w:tr>
      <w:tr w14:paraId="639D1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793" w:type="pct"/>
            <w:tcBorders>
              <w:top w:val="single" w:color="000000" w:sz="4" w:space="0"/>
              <w:left w:val="nil"/>
              <w:bottom w:val="single" w:color="000000" w:sz="4" w:space="0"/>
              <w:right w:val="single" w:color="000000" w:sz="4" w:space="0"/>
            </w:tcBorders>
            <w:shd w:val="clear" w:color="auto" w:fill="FFFFFF"/>
            <w:vAlign w:val="center"/>
          </w:tcPr>
          <w:p w14:paraId="7C6022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防水层(忽略保温性能)</w:t>
            </w:r>
          </w:p>
        </w:tc>
        <w:tc>
          <w:tcPr>
            <w:tcW w:w="454" w:type="pct"/>
            <w:tcBorders>
              <w:top w:val="single" w:color="000000" w:sz="4" w:space="0"/>
              <w:left w:val="single" w:color="000000" w:sz="4" w:space="0"/>
              <w:bottom w:val="single" w:color="000000" w:sz="4" w:space="0"/>
              <w:right w:val="nil"/>
            </w:tcBorders>
            <w:shd w:val="clear" w:color="auto" w:fill="FFFFFF"/>
            <w:vAlign w:val="center"/>
          </w:tcPr>
          <w:p w14:paraId="5700038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1.5</w:t>
            </w:r>
          </w:p>
        </w:tc>
        <w:tc>
          <w:tcPr>
            <w:tcW w:w="575" w:type="pct"/>
            <w:tcBorders>
              <w:top w:val="single" w:color="000000" w:sz="4" w:space="0"/>
              <w:left w:val="nil"/>
              <w:bottom w:val="single" w:color="000000" w:sz="4" w:space="0"/>
              <w:right w:val="single" w:color="000000" w:sz="4" w:space="0"/>
            </w:tcBorders>
            <w:shd w:val="clear" w:color="auto" w:fill="FFFFFF"/>
            <w:vAlign w:val="center"/>
          </w:tcPr>
          <w:p w14:paraId="7352B15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5.000</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6396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0.111</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9590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A92A5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0.000</w:t>
            </w: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C25E0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0.000</w:t>
            </w:r>
          </w:p>
        </w:tc>
      </w:tr>
      <w:tr w14:paraId="5D27B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793" w:type="pct"/>
            <w:tcBorders>
              <w:top w:val="single" w:color="000000" w:sz="4" w:space="0"/>
              <w:left w:val="nil"/>
              <w:bottom w:val="single" w:color="000000" w:sz="4" w:space="0"/>
              <w:right w:val="single" w:color="000000" w:sz="4" w:space="0"/>
            </w:tcBorders>
            <w:shd w:val="clear" w:color="auto" w:fill="FFFFFF"/>
            <w:vAlign w:val="center"/>
          </w:tcPr>
          <w:p w14:paraId="5295192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水泥砂浆(1)</w:t>
            </w:r>
          </w:p>
        </w:tc>
        <w:tc>
          <w:tcPr>
            <w:tcW w:w="454" w:type="pct"/>
            <w:tcBorders>
              <w:top w:val="single" w:color="000000" w:sz="4" w:space="0"/>
              <w:left w:val="single" w:color="000000" w:sz="4" w:space="0"/>
              <w:bottom w:val="single" w:color="000000" w:sz="4" w:space="0"/>
              <w:right w:val="nil"/>
            </w:tcBorders>
            <w:shd w:val="clear" w:color="auto" w:fill="FFFFFF"/>
            <w:vAlign w:val="center"/>
          </w:tcPr>
          <w:p w14:paraId="1E49711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15</w:t>
            </w:r>
          </w:p>
        </w:tc>
        <w:tc>
          <w:tcPr>
            <w:tcW w:w="575" w:type="pct"/>
            <w:tcBorders>
              <w:top w:val="single" w:color="000000" w:sz="4" w:space="0"/>
              <w:left w:val="nil"/>
              <w:bottom w:val="single" w:color="000000" w:sz="4" w:space="0"/>
              <w:right w:val="single" w:color="000000" w:sz="4" w:space="0"/>
            </w:tcBorders>
            <w:shd w:val="clear" w:color="auto" w:fill="FFFFFF"/>
            <w:vAlign w:val="center"/>
          </w:tcPr>
          <w:p w14:paraId="336EDE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0.930</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45E2A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11.306</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1804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C567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0.016</w:t>
            </w: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46DC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0.182</w:t>
            </w:r>
          </w:p>
        </w:tc>
      </w:tr>
      <w:tr w14:paraId="6F46D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793" w:type="pct"/>
            <w:tcBorders>
              <w:top w:val="single" w:color="000000" w:sz="4" w:space="0"/>
              <w:left w:val="nil"/>
              <w:bottom w:val="single" w:color="000000" w:sz="4" w:space="0"/>
              <w:right w:val="single" w:color="000000" w:sz="4" w:space="0"/>
            </w:tcBorders>
            <w:shd w:val="clear" w:color="auto" w:fill="FFFFFF"/>
            <w:vAlign w:val="center"/>
          </w:tcPr>
          <w:p w14:paraId="1A5DBAF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蒸压加气混凝土（B06）</w:t>
            </w:r>
          </w:p>
        </w:tc>
        <w:tc>
          <w:tcPr>
            <w:tcW w:w="454" w:type="pct"/>
            <w:tcBorders>
              <w:top w:val="single" w:color="000000" w:sz="4" w:space="0"/>
              <w:left w:val="single" w:color="000000" w:sz="4" w:space="0"/>
              <w:bottom w:val="single" w:color="000000" w:sz="4" w:space="0"/>
              <w:right w:val="nil"/>
            </w:tcBorders>
            <w:shd w:val="clear" w:color="auto" w:fill="FFFFFF"/>
            <w:vAlign w:val="center"/>
          </w:tcPr>
          <w:p w14:paraId="4D51204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w:t>
            </w:r>
          </w:p>
        </w:tc>
        <w:tc>
          <w:tcPr>
            <w:tcW w:w="575" w:type="pct"/>
            <w:tcBorders>
              <w:top w:val="single" w:color="000000" w:sz="4" w:space="0"/>
              <w:left w:val="nil"/>
              <w:bottom w:val="single" w:color="000000" w:sz="4" w:space="0"/>
              <w:right w:val="single" w:color="000000" w:sz="4" w:space="0"/>
            </w:tcBorders>
            <w:shd w:val="clear" w:color="auto" w:fill="FFFFFF"/>
            <w:vAlign w:val="center"/>
          </w:tcPr>
          <w:p w14:paraId="2E2513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0.160</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41BF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3.010</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35A6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1.25</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EED25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1.000</w:t>
            </w: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DB821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3.763</w:t>
            </w:r>
          </w:p>
        </w:tc>
      </w:tr>
      <w:tr w14:paraId="3EB0C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793" w:type="pct"/>
            <w:tcBorders>
              <w:top w:val="single" w:color="000000" w:sz="4" w:space="0"/>
              <w:left w:val="nil"/>
              <w:bottom w:val="single" w:color="000000" w:sz="4" w:space="0"/>
              <w:right w:val="single" w:color="000000" w:sz="4" w:space="0"/>
            </w:tcBorders>
            <w:shd w:val="clear" w:color="auto" w:fill="FFFFFF"/>
            <w:vAlign w:val="center"/>
          </w:tcPr>
          <w:p w14:paraId="1BF1EE8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各层之和∑</w:t>
            </w:r>
          </w:p>
        </w:tc>
        <w:tc>
          <w:tcPr>
            <w:tcW w:w="454" w:type="pct"/>
            <w:tcBorders>
              <w:top w:val="single" w:color="000000" w:sz="4" w:space="0"/>
              <w:left w:val="single" w:color="000000" w:sz="4" w:space="0"/>
              <w:bottom w:val="single" w:color="000000" w:sz="4" w:space="0"/>
              <w:right w:val="nil"/>
            </w:tcBorders>
            <w:shd w:val="clear" w:color="auto" w:fill="FFFFFF"/>
            <w:vAlign w:val="center"/>
          </w:tcPr>
          <w:p w14:paraId="069419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263.5</w:t>
            </w:r>
          </w:p>
        </w:tc>
        <w:tc>
          <w:tcPr>
            <w:tcW w:w="575" w:type="pct"/>
            <w:tcBorders>
              <w:top w:val="single" w:color="000000" w:sz="4" w:space="0"/>
              <w:left w:val="nil"/>
              <w:bottom w:val="single" w:color="000000" w:sz="4" w:space="0"/>
              <w:right w:val="single" w:color="000000" w:sz="4" w:space="0"/>
            </w:tcBorders>
            <w:shd w:val="clear" w:color="auto" w:fill="FFFFFF"/>
            <w:vAlign w:val="center"/>
          </w:tcPr>
          <w:p w14:paraId="03BDE72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A6FD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p>
        </w:tc>
        <w:tc>
          <w:tcPr>
            <w:tcW w:w="4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ABC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p>
        </w:tc>
        <w:tc>
          <w:tcPr>
            <w:tcW w:w="5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D6FA5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1.836</w:t>
            </w:r>
          </w:p>
        </w:tc>
        <w:tc>
          <w:tcPr>
            <w:tcW w:w="5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828ED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4.620</w:t>
            </w:r>
          </w:p>
        </w:tc>
      </w:tr>
      <w:tr w14:paraId="09737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793" w:type="pct"/>
            <w:tcBorders>
              <w:top w:val="single" w:color="000000" w:sz="4" w:space="0"/>
              <w:left w:val="nil"/>
              <w:bottom w:val="single" w:color="000000" w:sz="4" w:space="0"/>
              <w:right w:val="single" w:color="000000" w:sz="4" w:space="0"/>
            </w:tcBorders>
            <w:shd w:val="clear" w:color="auto" w:fill="FFFFFF"/>
            <w:vAlign w:val="center"/>
          </w:tcPr>
          <w:p w14:paraId="5BD34A9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外表面太阳辐射吸收系数</w:t>
            </w:r>
          </w:p>
        </w:tc>
        <w:tc>
          <w:tcPr>
            <w:tcW w:w="3206" w:type="pct"/>
            <w:gridSpan w:val="6"/>
            <w:tcBorders>
              <w:top w:val="single" w:color="000000" w:sz="4" w:space="0"/>
              <w:left w:val="single" w:color="000000" w:sz="4" w:space="0"/>
              <w:bottom w:val="single" w:color="000000" w:sz="4" w:space="0"/>
              <w:right w:val="nil"/>
            </w:tcBorders>
            <w:shd w:val="clear" w:color="auto" w:fill="FFFFFF"/>
          </w:tcPr>
          <w:p w14:paraId="7633C4B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0.75</w:t>
            </w:r>
          </w:p>
        </w:tc>
      </w:tr>
      <w:tr w14:paraId="35FA0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793" w:type="pct"/>
            <w:tcBorders>
              <w:top w:val="single" w:color="000000" w:sz="4" w:space="0"/>
              <w:left w:val="nil"/>
              <w:bottom w:val="single" w:color="000000" w:sz="4" w:space="0"/>
              <w:right w:val="single" w:color="000000" w:sz="4" w:space="0"/>
            </w:tcBorders>
            <w:shd w:val="clear" w:color="auto" w:fill="FFFFFF"/>
            <w:vAlign w:val="center"/>
          </w:tcPr>
          <w:p w14:paraId="4CE289C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传热系数K=1/(0.16+∑R)</w:t>
            </w:r>
          </w:p>
        </w:tc>
        <w:tc>
          <w:tcPr>
            <w:tcW w:w="3206" w:type="pct"/>
            <w:gridSpan w:val="6"/>
            <w:tcBorders>
              <w:top w:val="single" w:color="000000" w:sz="4" w:space="0"/>
              <w:left w:val="single" w:color="000000" w:sz="4" w:space="0"/>
              <w:bottom w:val="single" w:color="000000" w:sz="4" w:space="0"/>
              <w:right w:val="nil"/>
            </w:tcBorders>
            <w:shd w:val="clear" w:color="auto" w:fill="FFFFFF"/>
          </w:tcPr>
          <w:p w14:paraId="3F2C101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0.50</w:t>
            </w:r>
          </w:p>
        </w:tc>
      </w:tr>
      <w:tr w14:paraId="752643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793" w:type="pct"/>
            <w:tcBorders>
              <w:top w:val="single" w:color="000000" w:sz="4" w:space="0"/>
              <w:left w:val="nil"/>
              <w:bottom w:val="single" w:color="000000" w:sz="4" w:space="0"/>
              <w:right w:val="single" w:color="000000" w:sz="4" w:space="0"/>
            </w:tcBorders>
            <w:shd w:val="clear" w:color="auto" w:fill="FFFFFF"/>
            <w:vAlign w:val="center"/>
          </w:tcPr>
          <w:p w14:paraId="6CD1B35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面密度</w:t>
            </w:r>
          </w:p>
        </w:tc>
        <w:tc>
          <w:tcPr>
            <w:tcW w:w="3206" w:type="pct"/>
            <w:gridSpan w:val="6"/>
            <w:tcBorders>
              <w:top w:val="single" w:color="000000" w:sz="4" w:space="0"/>
              <w:left w:val="single" w:color="000000" w:sz="4" w:space="0"/>
              <w:bottom w:val="single" w:color="000000" w:sz="4" w:space="0"/>
              <w:right w:val="nil"/>
            </w:tcBorders>
            <w:shd w:val="clear" w:color="auto" w:fill="FFFFFF"/>
          </w:tcPr>
          <w:p w14:paraId="611E30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164.00(重质结构)</w:t>
            </w:r>
          </w:p>
        </w:tc>
      </w:tr>
    </w:tbl>
    <w:p w14:paraId="339939EE">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drawing>
          <wp:inline distT="0" distB="0" distL="114300" distR="114300">
            <wp:extent cx="5168265" cy="4946650"/>
            <wp:effectExtent l="0" t="0" r="3810" b="635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0"/>
                    <a:stretch>
                      <a:fillRect/>
                    </a:stretch>
                  </pic:blipFill>
                  <pic:spPr>
                    <a:xfrm>
                      <a:off x="0" y="0"/>
                      <a:ext cx="5168265" cy="4946650"/>
                    </a:xfrm>
                    <a:prstGeom prst="rect">
                      <a:avLst/>
                    </a:prstGeom>
                    <a:noFill/>
                    <a:ln>
                      <a:noFill/>
                    </a:ln>
                  </pic:spPr>
                </pic:pic>
              </a:graphicData>
            </a:graphic>
          </wp:inline>
        </w:drawing>
      </w:r>
    </w:p>
    <w:p w14:paraId="409F235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kern w:val="2"/>
          <w:sz w:val="21"/>
          <w:szCs w:val="24"/>
          <w:lang w:val="en-US" w:eastAsia="zh-CN"/>
        </w:rPr>
        <w:t>图1-</w:t>
      </w:r>
      <w:r>
        <w:rPr>
          <w:rFonts w:hint="eastAsia" w:ascii="宋体" w:hAnsi="宋体" w:cs="Times New Roman"/>
          <w:kern w:val="2"/>
          <w:sz w:val="21"/>
          <w:szCs w:val="24"/>
          <w:lang w:val="en-US" w:eastAsia="zh-CN"/>
        </w:rPr>
        <w:t>3</w:t>
      </w:r>
      <w:r>
        <w:rPr>
          <w:rFonts w:hint="eastAsia" w:ascii="宋体" w:hAnsi="宋体" w:eastAsia="宋体" w:cs="Times New Roman"/>
          <w:kern w:val="2"/>
          <w:sz w:val="21"/>
          <w:szCs w:val="24"/>
          <w:lang w:val="en-US" w:eastAsia="zh-CN"/>
        </w:rPr>
        <w:t xml:space="preserve">  </w:t>
      </w:r>
      <w:r>
        <w:rPr>
          <w:rFonts w:hint="eastAsia" w:ascii="宋体" w:hAnsi="宋体" w:cs="Times New Roman"/>
          <w:kern w:val="2"/>
          <w:sz w:val="21"/>
          <w:szCs w:val="24"/>
          <w:lang w:val="en-US" w:eastAsia="zh-CN"/>
        </w:rPr>
        <w:t>外墙构造</w:t>
      </w:r>
      <w:r>
        <w:rPr>
          <w:rFonts w:hint="eastAsia" w:ascii="宋体" w:hAnsi="宋体" w:eastAsia="宋体" w:cs="Times New Roman"/>
          <w:kern w:val="2"/>
          <w:sz w:val="21"/>
          <w:szCs w:val="24"/>
          <w:lang w:val="en-US" w:eastAsia="zh-CN"/>
        </w:rPr>
        <w:t>软件设置截图</w:t>
      </w:r>
    </w:p>
    <w:p w14:paraId="61D2B091">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eastAsia="宋体" w:cs="Arial"/>
          <w:b/>
          <w:bCs/>
          <w:kern w:val="2"/>
          <w:sz w:val="24"/>
          <w:szCs w:val="21"/>
          <w:lang w:val="en-US" w:eastAsia="zh-CN" w:bidi="ar-SA"/>
        </w:rPr>
      </w:pPr>
      <w:bookmarkStart w:id="18" w:name="_Toc7097"/>
      <w:r>
        <w:rPr>
          <w:rFonts w:hint="eastAsia" w:ascii="宋体" w:hAnsi="宋体" w:eastAsia="宋体" w:cs="Arial"/>
          <w:b/>
          <w:bCs/>
          <w:kern w:val="2"/>
          <w:sz w:val="24"/>
          <w:szCs w:val="21"/>
          <w:lang w:val="en-US" w:eastAsia="zh-CN" w:bidi="ar-SA"/>
        </w:rPr>
        <w:t>屋面构造</w:t>
      </w:r>
      <w:bookmarkEnd w:id="18"/>
    </w:p>
    <w:p w14:paraId="36C3611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屋顶构造及热工性能计算如表</w:t>
      </w:r>
      <w:r>
        <w:rPr>
          <w:rFonts w:hint="eastAsia" w:ascii="宋体" w:hAnsi="宋体" w:cs="Times New Roman"/>
          <w:spacing w:val="-2"/>
          <w:kern w:val="2"/>
          <w:sz w:val="24"/>
          <w:lang w:val="en-US" w:eastAsia="zh-CN"/>
        </w:rPr>
        <w:t>1-2</w:t>
      </w:r>
      <w:r>
        <w:rPr>
          <w:rFonts w:hint="eastAsia" w:ascii="宋体" w:hAnsi="宋体" w:eastAsia="宋体" w:cs="Times New Roman"/>
          <w:spacing w:val="-2"/>
          <w:kern w:val="2"/>
          <w:sz w:val="24"/>
          <w:lang w:val="en-US" w:eastAsia="zh-CN"/>
        </w:rPr>
        <w:t>所示。</w:t>
      </w:r>
    </w:p>
    <w:p w14:paraId="195206C7">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表1-2  屋面构造</w:t>
      </w:r>
    </w:p>
    <w:tbl>
      <w:tblPr>
        <w:tblStyle w:val="22"/>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379"/>
        <w:gridCol w:w="772"/>
        <w:gridCol w:w="983"/>
        <w:gridCol w:w="1091"/>
        <w:gridCol w:w="706"/>
        <w:gridCol w:w="1032"/>
        <w:gridCol w:w="1037"/>
      </w:tblGrid>
      <w:tr w14:paraId="1A9B8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vMerge w:val="restart"/>
            <w:tcBorders>
              <w:top w:val="single" w:color="000000" w:sz="4" w:space="0"/>
              <w:left w:val="nil"/>
              <w:bottom w:val="single" w:color="000000" w:sz="4" w:space="0"/>
              <w:right w:val="single" w:color="000000" w:sz="4" w:space="0"/>
              <w:tl2br w:val="nil"/>
            </w:tcBorders>
            <w:shd w:val="clear" w:color="auto" w:fill="FFFFFF"/>
            <w:vAlign w:val="center"/>
          </w:tcPr>
          <w:p w14:paraId="1F5710A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材料名称</w:t>
            </w:r>
            <w:r>
              <w:rPr>
                <w:rFonts w:hint="eastAsia" w:ascii="宋体" w:hAnsi="宋体" w:eastAsia="宋体" w:cs="Courier New"/>
                <w:b w:val="0"/>
                <w:color w:val="000000"/>
                <w:kern w:val="0"/>
                <w:sz w:val="21"/>
                <w:szCs w:val="24"/>
                <w:lang w:val="en-US" w:eastAsia="zh-CN" w:bidi="ar-SA"/>
              </w:rPr>
              <w:br w:type="textWrapping"/>
            </w:r>
            <w:r>
              <w:rPr>
                <w:rFonts w:hint="eastAsia" w:ascii="宋体" w:hAnsi="宋体" w:eastAsia="宋体" w:cs="Courier New"/>
                <w:b w:val="0"/>
                <w:color w:val="000000"/>
                <w:kern w:val="0"/>
                <w:sz w:val="21"/>
                <w:szCs w:val="24"/>
                <w:lang w:val="en-US" w:eastAsia="zh-CN" w:bidi="ar-SA"/>
              </w:rPr>
              <w:t>（由上到下）</w:t>
            </w:r>
          </w:p>
        </w:tc>
        <w:tc>
          <w:tcPr>
            <w:tcW w:w="428" w:type="pct"/>
            <w:tcBorders>
              <w:top w:val="single" w:color="000000" w:sz="4" w:space="0"/>
              <w:left w:val="single" w:color="000000" w:sz="4" w:space="0"/>
              <w:bottom w:val="single" w:color="000000" w:sz="4" w:space="0"/>
              <w:right w:val="nil"/>
            </w:tcBorders>
            <w:shd w:val="clear" w:color="auto" w:fill="FFFFFF"/>
            <w:vAlign w:val="center"/>
          </w:tcPr>
          <w:p w14:paraId="018F55F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厚度δ</w:t>
            </w:r>
          </w:p>
        </w:tc>
        <w:tc>
          <w:tcPr>
            <w:tcW w:w="546" w:type="pct"/>
            <w:tcBorders>
              <w:top w:val="single" w:color="000000" w:sz="4" w:space="0"/>
              <w:left w:val="nil"/>
              <w:bottom w:val="single" w:color="000000" w:sz="4" w:space="0"/>
              <w:right w:val="single" w:color="000000" w:sz="4" w:space="0"/>
            </w:tcBorders>
            <w:shd w:val="clear" w:color="auto" w:fill="FFFFFF"/>
            <w:vAlign w:val="center"/>
          </w:tcPr>
          <w:p w14:paraId="250DACF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导热系数λ</w:t>
            </w:r>
          </w:p>
        </w:tc>
        <w:tc>
          <w:tcPr>
            <w:tcW w:w="6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4FE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蓄热系数S</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0A672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修正</w:t>
            </w:r>
            <w:r>
              <w:rPr>
                <w:rFonts w:hint="eastAsia" w:ascii="宋体" w:hAnsi="宋体" w:eastAsia="宋体" w:cs="Courier New"/>
                <w:b w:val="0"/>
                <w:color w:val="000000"/>
                <w:kern w:val="0"/>
                <w:sz w:val="21"/>
                <w:szCs w:val="24"/>
                <w:lang w:val="en-US" w:eastAsia="zh-CN" w:bidi="ar-SA"/>
              </w:rPr>
              <w:br w:type="textWrapping"/>
            </w:r>
            <w:r>
              <w:rPr>
                <w:rFonts w:hint="eastAsia" w:ascii="宋体" w:hAnsi="宋体" w:eastAsia="宋体" w:cs="Courier New"/>
                <w:b w:val="0"/>
                <w:color w:val="000000"/>
                <w:kern w:val="0"/>
                <w:sz w:val="21"/>
                <w:szCs w:val="24"/>
                <w:lang w:val="en-US" w:eastAsia="zh-CN" w:bidi="ar-SA"/>
              </w:rPr>
              <w:t>系数</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50CE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热阻R</w:t>
            </w: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5709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热惰性</w:t>
            </w:r>
            <w:r>
              <w:rPr>
                <w:rFonts w:hint="eastAsia" w:ascii="宋体" w:hAnsi="宋体" w:eastAsia="宋体" w:cs="Courier New"/>
                <w:b w:val="0"/>
                <w:color w:val="000000"/>
                <w:kern w:val="0"/>
                <w:sz w:val="21"/>
                <w:szCs w:val="24"/>
                <w:lang w:val="en-US" w:eastAsia="zh-CN" w:bidi="ar-SA"/>
              </w:rPr>
              <w:br w:type="textWrapping"/>
            </w:r>
            <w:r>
              <w:rPr>
                <w:rFonts w:hint="eastAsia" w:ascii="宋体" w:hAnsi="宋体" w:eastAsia="宋体" w:cs="Courier New"/>
                <w:b w:val="0"/>
                <w:color w:val="000000"/>
                <w:kern w:val="0"/>
                <w:sz w:val="21"/>
                <w:szCs w:val="24"/>
                <w:lang w:val="en-US" w:eastAsia="zh-CN" w:bidi="ar-SA"/>
              </w:rPr>
              <w:t>指标</w:t>
            </w:r>
          </w:p>
        </w:tc>
      </w:tr>
      <w:tr w14:paraId="090D60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vMerge w:val="continue"/>
            <w:tcBorders>
              <w:top w:val="single" w:color="000000" w:sz="4" w:space="0"/>
              <w:left w:val="nil"/>
              <w:bottom w:val="single" w:color="000000" w:sz="4" w:space="0"/>
              <w:right w:val="single" w:color="000000" w:sz="4" w:space="0"/>
            </w:tcBorders>
            <w:shd w:val="clear" w:color="auto" w:fill="FFFFFF"/>
            <w:vAlign w:val="center"/>
          </w:tcPr>
          <w:p w14:paraId="5C2748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428" w:type="pct"/>
            <w:tcBorders>
              <w:top w:val="single" w:color="000000" w:sz="4" w:space="0"/>
              <w:left w:val="single" w:color="000000" w:sz="4" w:space="0"/>
              <w:bottom w:val="single" w:color="000000" w:sz="4" w:space="0"/>
              <w:right w:val="nil"/>
            </w:tcBorders>
            <w:shd w:val="clear" w:color="auto" w:fill="FFFFFF"/>
            <w:vAlign w:val="center"/>
          </w:tcPr>
          <w:p w14:paraId="28533D8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(mm)</w:t>
            </w:r>
          </w:p>
        </w:tc>
        <w:tc>
          <w:tcPr>
            <w:tcW w:w="546" w:type="pct"/>
            <w:tcBorders>
              <w:top w:val="single" w:color="000000" w:sz="4" w:space="0"/>
              <w:left w:val="nil"/>
              <w:bottom w:val="single" w:color="000000" w:sz="4" w:space="0"/>
              <w:right w:val="single" w:color="000000" w:sz="4" w:space="0"/>
            </w:tcBorders>
            <w:shd w:val="clear" w:color="auto" w:fill="FFFFFF"/>
            <w:vAlign w:val="center"/>
          </w:tcPr>
          <w:p w14:paraId="748A71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W/(m.K)</w:t>
            </w:r>
          </w:p>
        </w:tc>
        <w:tc>
          <w:tcPr>
            <w:tcW w:w="6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9C1B1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W/(㎡.K)</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4747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α</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2300C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(㎡K)/W</w:t>
            </w: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FE202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D=R*S</w:t>
            </w:r>
          </w:p>
        </w:tc>
      </w:tr>
      <w:tr w14:paraId="1AE2C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31F1CA3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细石混凝土（双向配筋）</w:t>
            </w:r>
          </w:p>
        </w:tc>
        <w:tc>
          <w:tcPr>
            <w:tcW w:w="428" w:type="pct"/>
            <w:tcBorders>
              <w:top w:val="single" w:color="000000" w:sz="4" w:space="0"/>
              <w:left w:val="single" w:color="000000" w:sz="4" w:space="0"/>
              <w:bottom w:val="single" w:color="000000" w:sz="4" w:space="0"/>
              <w:right w:val="nil"/>
            </w:tcBorders>
            <w:shd w:val="clear" w:color="auto" w:fill="FFFFFF"/>
            <w:vAlign w:val="center"/>
          </w:tcPr>
          <w:p w14:paraId="5ED1A8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w:t>
            </w:r>
          </w:p>
        </w:tc>
        <w:tc>
          <w:tcPr>
            <w:tcW w:w="546" w:type="pct"/>
            <w:tcBorders>
              <w:top w:val="single" w:color="000000" w:sz="4" w:space="0"/>
              <w:left w:val="nil"/>
              <w:bottom w:val="single" w:color="000000" w:sz="4" w:space="0"/>
              <w:right w:val="single" w:color="000000" w:sz="4" w:space="0"/>
            </w:tcBorders>
            <w:shd w:val="clear" w:color="auto" w:fill="FFFFFF"/>
            <w:vAlign w:val="center"/>
          </w:tcPr>
          <w:p w14:paraId="7C730D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1.740</w:t>
            </w:r>
          </w:p>
        </w:tc>
        <w:tc>
          <w:tcPr>
            <w:tcW w:w="6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1973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17.060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C94DB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832CF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0.023</w:t>
            </w: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27217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0.392</w:t>
            </w:r>
          </w:p>
        </w:tc>
      </w:tr>
      <w:tr w14:paraId="7C28D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5FAD6B7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水泥砂浆(1)</w:t>
            </w:r>
          </w:p>
        </w:tc>
        <w:tc>
          <w:tcPr>
            <w:tcW w:w="428" w:type="pct"/>
            <w:tcBorders>
              <w:top w:val="single" w:color="000000" w:sz="4" w:space="0"/>
              <w:left w:val="single" w:color="000000" w:sz="4" w:space="0"/>
              <w:bottom w:val="single" w:color="000000" w:sz="4" w:space="0"/>
              <w:right w:val="nil"/>
            </w:tcBorders>
            <w:shd w:val="clear" w:color="auto" w:fill="FFFFFF"/>
            <w:vAlign w:val="center"/>
          </w:tcPr>
          <w:p w14:paraId="732BED0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w:t>
            </w:r>
          </w:p>
        </w:tc>
        <w:tc>
          <w:tcPr>
            <w:tcW w:w="546" w:type="pct"/>
            <w:tcBorders>
              <w:top w:val="single" w:color="000000" w:sz="4" w:space="0"/>
              <w:left w:val="nil"/>
              <w:bottom w:val="single" w:color="000000" w:sz="4" w:space="0"/>
              <w:right w:val="single" w:color="000000" w:sz="4" w:space="0"/>
            </w:tcBorders>
            <w:shd w:val="clear" w:color="auto" w:fill="FFFFFF"/>
            <w:vAlign w:val="center"/>
          </w:tcPr>
          <w:p w14:paraId="68CD1D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0.930</w:t>
            </w:r>
          </w:p>
        </w:tc>
        <w:tc>
          <w:tcPr>
            <w:tcW w:w="6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7141A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11.306</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A339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76E9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0.011</w:t>
            </w: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3E87D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0.122</w:t>
            </w:r>
          </w:p>
        </w:tc>
      </w:tr>
      <w:tr w14:paraId="35FE2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48589EB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自粘无胎高聚物改性沥青防水卷材</w:t>
            </w:r>
          </w:p>
        </w:tc>
        <w:tc>
          <w:tcPr>
            <w:tcW w:w="428" w:type="pct"/>
            <w:tcBorders>
              <w:top w:val="single" w:color="000000" w:sz="4" w:space="0"/>
              <w:left w:val="single" w:color="000000" w:sz="4" w:space="0"/>
              <w:bottom w:val="single" w:color="000000" w:sz="4" w:space="0"/>
              <w:right w:val="nil"/>
            </w:tcBorders>
            <w:shd w:val="clear" w:color="auto" w:fill="FFFFFF"/>
            <w:vAlign w:val="center"/>
          </w:tcPr>
          <w:p w14:paraId="558DCC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w:t>
            </w:r>
          </w:p>
        </w:tc>
        <w:tc>
          <w:tcPr>
            <w:tcW w:w="546" w:type="pct"/>
            <w:tcBorders>
              <w:top w:val="single" w:color="000000" w:sz="4" w:space="0"/>
              <w:left w:val="nil"/>
              <w:bottom w:val="single" w:color="000000" w:sz="4" w:space="0"/>
              <w:right w:val="single" w:color="000000" w:sz="4" w:space="0"/>
            </w:tcBorders>
            <w:shd w:val="clear" w:color="auto" w:fill="FFFFFF"/>
            <w:vAlign w:val="center"/>
          </w:tcPr>
          <w:p w14:paraId="7B0778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0.230</w:t>
            </w:r>
          </w:p>
        </w:tc>
        <w:tc>
          <w:tcPr>
            <w:tcW w:w="6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07BEA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4.938</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96BD9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2F52B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0.026</w:t>
            </w: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533B7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0.129</w:t>
            </w:r>
          </w:p>
        </w:tc>
      </w:tr>
      <w:tr w14:paraId="2FDA1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34F2BA2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水泥砂浆(1)</w:t>
            </w:r>
          </w:p>
        </w:tc>
        <w:tc>
          <w:tcPr>
            <w:tcW w:w="428" w:type="pct"/>
            <w:tcBorders>
              <w:top w:val="single" w:color="000000" w:sz="4" w:space="0"/>
              <w:left w:val="single" w:color="000000" w:sz="4" w:space="0"/>
              <w:bottom w:val="single" w:color="000000" w:sz="4" w:space="0"/>
              <w:right w:val="nil"/>
            </w:tcBorders>
            <w:shd w:val="clear" w:color="auto" w:fill="FFFFFF"/>
            <w:vAlign w:val="center"/>
          </w:tcPr>
          <w:p w14:paraId="5B1EDE0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w:t>
            </w:r>
          </w:p>
        </w:tc>
        <w:tc>
          <w:tcPr>
            <w:tcW w:w="546" w:type="pct"/>
            <w:tcBorders>
              <w:top w:val="single" w:color="000000" w:sz="4" w:space="0"/>
              <w:left w:val="nil"/>
              <w:bottom w:val="single" w:color="000000" w:sz="4" w:space="0"/>
              <w:right w:val="single" w:color="000000" w:sz="4" w:space="0"/>
            </w:tcBorders>
            <w:shd w:val="clear" w:color="auto" w:fill="FFFFFF"/>
            <w:vAlign w:val="center"/>
          </w:tcPr>
          <w:p w14:paraId="17BE793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0.930</w:t>
            </w:r>
          </w:p>
        </w:tc>
        <w:tc>
          <w:tcPr>
            <w:tcW w:w="6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5C4AE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11.306</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D305B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DCC01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0.022</w:t>
            </w: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33784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0.243</w:t>
            </w:r>
          </w:p>
        </w:tc>
      </w:tr>
      <w:tr w14:paraId="3D949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2A98F4F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lc5.0轻集料混凝土</w:t>
            </w:r>
          </w:p>
        </w:tc>
        <w:tc>
          <w:tcPr>
            <w:tcW w:w="428" w:type="pct"/>
            <w:tcBorders>
              <w:top w:val="single" w:color="000000" w:sz="4" w:space="0"/>
              <w:left w:val="single" w:color="000000" w:sz="4" w:space="0"/>
              <w:bottom w:val="single" w:color="000000" w:sz="4" w:space="0"/>
              <w:right w:val="nil"/>
            </w:tcBorders>
            <w:shd w:val="clear" w:color="auto" w:fill="FFFFFF"/>
            <w:vAlign w:val="center"/>
          </w:tcPr>
          <w:p w14:paraId="0D0487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w:t>
            </w:r>
          </w:p>
        </w:tc>
        <w:tc>
          <w:tcPr>
            <w:tcW w:w="546" w:type="pct"/>
            <w:tcBorders>
              <w:top w:val="single" w:color="000000" w:sz="4" w:space="0"/>
              <w:left w:val="nil"/>
              <w:bottom w:val="single" w:color="000000" w:sz="4" w:space="0"/>
              <w:right w:val="single" w:color="000000" w:sz="4" w:space="0"/>
            </w:tcBorders>
            <w:shd w:val="clear" w:color="auto" w:fill="FFFFFF"/>
            <w:vAlign w:val="center"/>
          </w:tcPr>
          <w:p w14:paraId="42FB04A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0.300</w:t>
            </w:r>
          </w:p>
        </w:tc>
        <w:tc>
          <w:tcPr>
            <w:tcW w:w="6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13B34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5.000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9693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1.45</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B7E36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0.069</w:t>
            </w: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6F053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0.500</w:t>
            </w:r>
          </w:p>
        </w:tc>
      </w:tr>
      <w:tr w14:paraId="4F71B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6449884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硬泡聚氨酯复合板（b1级）(1)</w:t>
            </w:r>
          </w:p>
        </w:tc>
        <w:tc>
          <w:tcPr>
            <w:tcW w:w="428" w:type="pct"/>
            <w:tcBorders>
              <w:top w:val="single" w:color="000000" w:sz="4" w:space="0"/>
              <w:left w:val="single" w:color="000000" w:sz="4" w:space="0"/>
              <w:bottom w:val="single" w:color="000000" w:sz="4" w:space="0"/>
              <w:right w:val="nil"/>
            </w:tcBorders>
            <w:shd w:val="clear" w:color="auto" w:fill="FFFFFF"/>
            <w:vAlign w:val="center"/>
          </w:tcPr>
          <w:p w14:paraId="44ACDF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546" w:type="pct"/>
            <w:tcBorders>
              <w:top w:val="single" w:color="000000" w:sz="4" w:space="0"/>
              <w:left w:val="nil"/>
              <w:bottom w:val="single" w:color="000000" w:sz="4" w:space="0"/>
              <w:right w:val="single" w:color="000000" w:sz="4" w:space="0"/>
            </w:tcBorders>
            <w:shd w:val="clear" w:color="auto" w:fill="FFFFFF"/>
            <w:vAlign w:val="center"/>
          </w:tcPr>
          <w:p w14:paraId="19653E1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0.024</w:t>
            </w:r>
          </w:p>
        </w:tc>
        <w:tc>
          <w:tcPr>
            <w:tcW w:w="6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9DA5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0.360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AE14A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1.25</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11D2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3.333</w:t>
            </w: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F0D92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1.500</w:t>
            </w:r>
          </w:p>
        </w:tc>
      </w:tr>
      <w:tr w14:paraId="666DC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5DBB968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钢筋混凝土</w:t>
            </w:r>
          </w:p>
        </w:tc>
        <w:tc>
          <w:tcPr>
            <w:tcW w:w="428" w:type="pct"/>
            <w:tcBorders>
              <w:top w:val="single" w:color="000000" w:sz="4" w:space="0"/>
              <w:left w:val="single" w:color="000000" w:sz="4" w:space="0"/>
              <w:bottom w:val="single" w:color="000000" w:sz="4" w:space="0"/>
              <w:right w:val="nil"/>
            </w:tcBorders>
            <w:shd w:val="clear" w:color="auto" w:fill="FFFFFF"/>
            <w:vAlign w:val="center"/>
          </w:tcPr>
          <w:p w14:paraId="0272BB9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120</w:t>
            </w:r>
          </w:p>
        </w:tc>
        <w:tc>
          <w:tcPr>
            <w:tcW w:w="546" w:type="pct"/>
            <w:tcBorders>
              <w:top w:val="single" w:color="000000" w:sz="4" w:space="0"/>
              <w:left w:val="nil"/>
              <w:bottom w:val="single" w:color="000000" w:sz="4" w:space="0"/>
              <w:right w:val="single" w:color="000000" w:sz="4" w:space="0"/>
            </w:tcBorders>
            <w:shd w:val="clear" w:color="auto" w:fill="FFFFFF"/>
            <w:vAlign w:val="center"/>
          </w:tcPr>
          <w:p w14:paraId="690B0D0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1.740</w:t>
            </w:r>
          </w:p>
        </w:tc>
        <w:tc>
          <w:tcPr>
            <w:tcW w:w="6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BEB0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17.200</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9BBC0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E809F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0.069</w:t>
            </w: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490AD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1.186</w:t>
            </w:r>
          </w:p>
        </w:tc>
      </w:tr>
      <w:tr w14:paraId="4DE1E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4855E9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各层之和∑</w:t>
            </w:r>
          </w:p>
        </w:tc>
        <w:tc>
          <w:tcPr>
            <w:tcW w:w="428" w:type="pct"/>
            <w:tcBorders>
              <w:top w:val="single" w:color="000000" w:sz="4" w:space="0"/>
              <w:left w:val="single" w:color="000000" w:sz="4" w:space="0"/>
              <w:bottom w:val="single" w:color="000000" w:sz="4" w:space="0"/>
              <w:right w:val="nil"/>
            </w:tcBorders>
            <w:shd w:val="clear" w:color="auto" w:fill="FFFFFF"/>
            <w:vAlign w:val="center"/>
          </w:tcPr>
          <w:p w14:paraId="093E64E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326</w:t>
            </w:r>
          </w:p>
        </w:tc>
        <w:tc>
          <w:tcPr>
            <w:tcW w:w="546" w:type="pct"/>
            <w:tcBorders>
              <w:top w:val="single" w:color="000000" w:sz="4" w:space="0"/>
              <w:left w:val="nil"/>
              <w:bottom w:val="single" w:color="000000" w:sz="4" w:space="0"/>
              <w:right w:val="single" w:color="000000" w:sz="4" w:space="0"/>
            </w:tcBorders>
            <w:shd w:val="clear" w:color="auto" w:fill="FFFFFF"/>
            <w:vAlign w:val="center"/>
          </w:tcPr>
          <w:p w14:paraId="5BD92D3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p>
        </w:tc>
        <w:tc>
          <w:tcPr>
            <w:tcW w:w="6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B7C02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p>
        </w:tc>
        <w:tc>
          <w:tcPr>
            <w:tcW w:w="3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40EA7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p>
        </w:tc>
        <w:tc>
          <w:tcPr>
            <w:tcW w:w="5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0442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3.553</w:t>
            </w:r>
          </w:p>
        </w:tc>
        <w:tc>
          <w:tcPr>
            <w:tcW w:w="57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1A3ED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4.072</w:t>
            </w:r>
          </w:p>
        </w:tc>
      </w:tr>
      <w:tr w14:paraId="375EC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7414B3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外表面太阳辐射吸收系数</w:t>
            </w:r>
          </w:p>
        </w:tc>
        <w:tc>
          <w:tcPr>
            <w:tcW w:w="3122" w:type="pct"/>
            <w:gridSpan w:val="6"/>
            <w:tcBorders>
              <w:top w:val="single" w:color="000000" w:sz="4" w:space="0"/>
              <w:left w:val="single" w:color="000000" w:sz="4" w:space="0"/>
              <w:bottom w:val="single" w:color="000000" w:sz="4" w:space="0"/>
              <w:right w:val="nil"/>
            </w:tcBorders>
            <w:shd w:val="clear" w:color="auto" w:fill="FFFFFF"/>
          </w:tcPr>
          <w:p w14:paraId="350B86E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0.75</w:t>
            </w:r>
          </w:p>
        </w:tc>
      </w:tr>
      <w:tr w14:paraId="5DD36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689D0C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传热系数K=1/(0.16+∑R)</w:t>
            </w:r>
          </w:p>
        </w:tc>
        <w:tc>
          <w:tcPr>
            <w:tcW w:w="3122" w:type="pct"/>
            <w:gridSpan w:val="6"/>
            <w:tcBorders>
              <w:top w:val="single" w:color="000000" w:sz="4" w:space="0"/>
              <w:left w:val="single" w:color="000000" w:sz="4" w:space="0"/>
              <w:bottom w:val="single" w:color="000000" w:sz="4" w:space="0"/>
              <w:right w:val="nil"/>
            </w:tcBorders>
            <w:shd w:val="clear" w:color="auto" w:fill="FFFFFF"/>
          </w:tcPr>
          <w:p w14:paraId="79CBE99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0.27</w:t>
            </w:r>
          </w:p>
        </w:tc>
      </w:tr>
      <w:tr w14:paraId="5FF14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1CB1267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面密度</w:t>
            </w:r>
          </w:p>
        </w:tc>
        <w:tc>
          <w:tcPr>
            <w:tcW w:w="3122" w:type="pct"/>
            <w:gridSpan w:val="6"/>
            <w:tcBorders>
              <w:top w:val="single" w:color="000000" w:sz="4" w:space="0"/>
              <w:left w:val="single" w:color="000000" w:sz="4" w:space="0"/>
              <w:bottom w:val="single" w:color="000000" w:sz="4" w:space="0"/>
              <w:right w:val="nil"/>
            </w:tcBorders>
            <w:shd w:val="clear" w:color="auto" w:fill="FFFFFF"/>
          </w:tcPr>
          <w:p w14:paraId="25EE2ED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495.40(重质结构)</w:t>
            </w:r>
          </w:p>
        </w:tc>
      </w:tr>
      <w:tr w14:paraId="06F7A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18C2DB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标准依据</w:t>
            </w:r>
          </w:p>
        </w:tc>
        <w:tc>
          <w:tcPr>
            <w:tcW w:w="3122" w:type="pct"/>
            <w:gridSpan w:val="6"/>
            <w:tcBorders>
              <w:top w:val="single" w:color="000000" w:sz="4" w:space="0"/>
              <w:left w:val="single" w:color="000000" w:sz="4" w:space="0"/>
              <w:bottom w:val="single" w:color="000000" w:sz="4" w:space="0"/>
              <w:right w:val="nil"/>
            </w:tcBorders>
            <w:shd w:val="clear" w:color="auto" w:fill="FFFFFF"/>
          </w:tcPr>
          <w:p w14:paraId="56BEDE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安徽省《公共建筑节能设计标准》DB34/T 5076-2023</w:t>
            </w:r>
          </w:p>
        </w:tc>
      </w:tr>
      <w:tr w14:paraId="5B333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65D5EDB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标准要求</w:t>
            </w:r>
          </w:p>
        </w:tc>
        <w:tc>
          <w:tcPr>
            <w:tcW w:w="3122" w:type="pct"/>
            <w:gridSpan w:val="6"/>
            <w:tcBorders>
              <w:top w:val="single" w:color="000000" w:sz="4" w:space="0"/>
              <w:left w:val="single" w:color="000000" w:sz="4" w:space="0"/>
              <w:bottom w:val="single" w:color="000000" w:sz="4" w:space="0"/>
              <w:right w:val="nil"/>
            </w:tcBorders>
            <w:shd w:val="clear" w:color="auto" w:fill="FFFFFF"/>
          </w:tcPr>
          <w:p w14:paraId="44BED5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应满足表4.2.2-1的规定(K≤0.30)</w:t>
            </w:r>
          </w:p>
        </w:tc>
      </w:tr>
      <w:tr w14:paraId="3110F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877" w:type="pct"/>
            <w:tcBorders>
              <w:top w:val="single" w:color="000000" w:sz="4" w:space="0"/>
              <w:left w:val="nil"/>
              <w:bottom w:val="single" w:color="000000" w:sz="4" w:space="0"/>
              <w:right w:val="single" w:color="000000" w:sz="4" w:space="0"/>
            </w:tcBorders>
            <w:shd w:val="clear" w:color="auto" w:fill="FFFFFF"/>
            <w:vAlign w:val="center"/>
          </w:tcPr>
          <w:p w14:paraId="5BD2D9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结论</w:t>
            </w:r>
          </w:p>
        </w:tc>
        <w:tc>
          <w:tcPr>
            <w:tcW w:w="3122" w:type="pct"/>
            <w:gridSpan w:val="6"/>
            <w:tcBorders>
              <w:top w:val="single" w:color="000000" w:sz="4" w:space="0"/>
              <w:left w:val="single" w:color="000000" w:sz="4" w:space="0"/>
              <w:bottom w:val="single" w:color="000000" w:sz="4" w:space="0"/>
              <w:right w:val="nil"/>
            </w:tcBorders>
            <w:shd w:val="clear" w:color="auto" w:fill="FFFFFF"/>
          </w:tcPr>
          <w:p w14:paraId="427D20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bl>
    <w:p w14:paraId="54E715F6">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drawing>
          <wp:inline distT="0" distB="0" distL="114300" distR="114300">
            <wp:extent cx="4702175" cy="4537710"/>
            <wp:effectExtent l="0" t="0" r="3175" b="571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1"/>
                    <a:srcRect l="1207"/>
                    <a:stretch>
                      <a:fillRect/>
                    </a:stretch>
                  </pic:blipFill>
                  <pic:spPr>
                    <a:xfrm>
                      <a:off x="0" y="0"/>
                      <a:ext cx="4702175" cy="4537710"/>
                    </a:xfrm>
                    <a:prstGeom prst="rect">
                      <a:avLst/>
                    </a:prstGeom>
                    <a:noFill/>
                    <a:ln>
                      <a:noFill/>
                    </a:ln>
                  </pic:spPr>
                </pic:pic>
              </a:graphicData>
            </a:graphic>
          </wp:inline>
        </w:drawing>
      </w:r>
    </w:p>
    <w:p w14:paraId="32FBDCE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kern w:val="2"/>
          <w:sz w:val="21"/>
          <w:szCs w:val="24"/>
          <w:lang w:val="en-US" w:eastAsia="zh-CN"/>
        </w:rPr>
        <w:t>图1-</w:t>
      </w:r>
      <w:r>
        <w:rPr>
          <w:rFonts w:hint="eastAsia" w:ascii="宋体" w:hAnsi="宋体" w:cs="Times New Roman"/>
          <w:kern w:val="2"/>
          <w:sz w:val="21"/>
          <w:szCs w:val="24"/>
          <w:lang w:val="en-US" w:eastAsia="zh-CN"/>
        </w:rPr>
        <w:t>4</w:t>
      </w:r>
      <w:r>
        <w:rPr>
          <w:rFonts w:hint="eastAsia" w:ascii="宋体" w:hAnsi="宋体" w:eastAsia="宋体" w:cs="Times New Roman"/>
          <w:kern w:val="2"/>
          <w:sz w:val="21"/>
          <w:szCs w:val="24"/>
          <w:lang w:val="en-US" w:eastAsia="zh-CN"/>
        </w:rPr>
        <w:t xml:space="preserve">  </w:t>
      </w:r>
      <w:r>
        <w:rPr>
          <w:rFonts w:hint="eastAsia" w:ascii="宋体" w:hAnsi="宋体" w:cs="Times New Roman"/>
          <w:kern w:val="2"/>
          <w:sz w:val="21"/>
          <w:szCs w:val="24"/>
          <w:lang w:val="en-US" w:eastAsia="zh-CN"/>
        </w:rPr>
        <w:t>屋面构造</w:t>
      </w:r>
      <w:r>
        <w:rPr>
          <w:rFonts w:hint="eastAsia" w:ascii="宋体" w:hAnsi="宋体" w:eastAsia="宋体" w:cs="Times New Roman"/>
          <w:kern w:val="2"/>
          <w:sz w:val="21"/>
          <w:szCs w:val="24"/>
          <w:lang w:val="en-US" w:eastAsia="zh-CN"/>
        </w:rPr>
        <w:t>软件设置截图</w:t>
      </w:r>
    </w:p>
    <w:p w14:paraId="232DF55B">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eastAsia="宋体" w:cs="Arial"/>
          <w:b/>
          <w:bCs/>
          <w:kern w:val="2"/>
          <w:sz w:val="24"/>
          <w:szCs w:val="21"/>
          <w:lang w:val="en-US" w:eastAsia="zh-CN" w:bidi="ar-SA"/>
        </w:rPr>
      </w:pPr>
      <w:bookmarkStart w:id="19" w:name="_Toc3687"/>
      <w:r>
        <w:rPr>
          <w:rFonts w:hint="eastAsia" w:ascii="宋体" w:hAnsi="宋体" w:eastAsia="宋体" w:cs="Arial"/>
          <w:b/>
          <w:bCs/>
          <w:kern w:val="2"/>
          <w:sz w:val="24"/>
          <w:szCs w:val="21"/>
          <w:lang w:val="en-US" w:eastAsia="zh-CN" w:bidi="ar-SA"/>
        </w:rPr>
        <w:t>门窗类型</w:t>
      </w:r>
      <w:bookmarkEnd w:id="19"/>
    </w:p>
    <w:p w14:paraId="1D5E0ED7">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cs="Times New Roman"/>
          <w:spacing w:val="-2"/>
          <w:kern w:val="2"/>
          <w:sz w:val="24"/>
          <w:lang w:val="en-US" w:eastAsia="zh-CN"/>
        </w:rPr>
        <w:t>门窗类型</w:t>
      </w:r>
      <w:r>
        <w:rPr>
          <w:rFonts w:hint="eastAsia" w:ascii="宋体" w:hAnsi="宋体" w:eastAsia="宋体" w:cs="Times New Roman"/>
          <w:spacing w:val="-2"/>
          <w:kern w:val="2"/>
          <w:sz w:val="24"/>
          <w:lang w:val="en-US" w:eastAsia="zh-CN"/>
        </w:rPr>
        <w:t>如表</w:t>
      </w:r>
      <w:r>
        <w:rPr>
          <w:rFonts w:hint="eastAsia" w:ascii="宋体" w:hAnsi="宋体" w:cs="Times New Roman"/>
          <w:spacing w:val="-2"/>
          <w:kern w:val="2"/>
          <w:sz w:val="24"/>
          <w:lang w:val="en-US" w:eastAsia="zh-CN"/>
        </w:rPr>
        <w:t>1-3</w:t>
      </w:r>
      <w:r>
        <w:rPr>
          <w:rFonts w:hint="eastAsia" w:ascii="宋体" w:hAnsi="宋体" w:eastAsia="宋体" w:cs="Times New Roman"/>
          <w:spacing w:val="-2"/>
          <w:kern w:val="2"/>
          <w:sz w:val="24"/>
          <w:lang w:val="en-US" w:eastAsia="zh-CN"/>
        </w:rPr>
        <w:t>所示。</w:t>
      </w:r>
    </w:p>
    <w:p w14:paraId="1AF14DE4">
      <w:pPr>
        <w:widowControl/>
        <w:adjustRightInd w:val="0"/>
        <w:snapToGrid w:val="0"/>
        <w:spacing w:line="420" w:lineRule="atLeast"/>
        <w:jc w:val="center"/>
        <w:rPr>
          <w:rFonts w:hint="eastAsia" w:ascii="宋体" w:hAnsi="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表1-3  外窗类型</w:t>
      </w:r>
    </w:p>
    <w:tbl>
      <w:tblPr>
        <w:tblStyle w:val="22"/>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762"/>
        <w:gridCol w:w="2840"/>
        <w:gridCol w:w="949"/>
        <w:gridCol w:w="1129"/>
        <w:gridCol w:w="1358"/>
        <w:gridCol w:w="1963"/>
      </w:tblGrid>
      <w:tr w14:paraId="5CC4D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424" w:type="pct"/>
            <w:tcBorders>
              <w:top w:val="single" w:color="000000" w:sz="4" w:space="0"/>
              <w:left w:val="nil"/>
              <w:bottom w:val="single" w:color="000000" w:sz="4" w:space="0"/>
              <w:right w:val="single" w:color="000000" w:sz="4" w:space="0"/>
              <w:tl2br w:val="nil"/>
            </w:tcBorders>
            <w:shd w:val="clear" w:color="auto" w:fill="FFFFFF"/>
            <w:vAlign w:val="center"/>
          </w:tcPr>
          <w:p w14:paraId="3A8A3F5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序号</w:t>
            </w:r>
          </w:p>
        </w:tc>
        <w:tc>
          <w:tcPr>
            <w:tcW w:w="1577" w:type="pct"/>
            <w:tcBorders>
              <w:top w:val="single" w:color="000000" w:sz="4" w:space="0"/>
              <w:left w:val="single" w:color="000000" w:sz="4" w:space="0"/>
              <w:bottom w:val="single" w:color="000000" w:sz="4" w:space="0"/>
              <w:right w:val="nil"/>
            </w:tcBorders>
            <w:shd w:val="clear" w:color="auto" w:fill="FFFFFF"/>
            <w:vAlign w:val="center"/>
          </w:tcPr>
          <w:p w14:paraId="46FE51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构造名称</w:t>
            </w:r>
          </w:p>
        </w:tc>
        <w:tc>
          <w:tcPr>
            <w:tcW w:w="527" w:type="pct"/>
            <w:tcBorders>
              <w:top w:val="single" w:color="000000" w:sz="4" w:space="0"/>
              <w:left w:val="nil"/>
              <w:bottom w:val="single" w:color="000000" w:sz="4" w:space="0"/>
              <w:right w:val="single" w:color="000000" w:sz="4" w:space="0"/>
            </w:tcBorders>
            <w:shd w:val="clear" w:color="auto" w:fill="FFFFFF"/>
            <w:vAlign w:val="center"/>
          </w:tcPr>
          <w:p w14:paraId="0936C15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构造</w:t>
            </w:r>
            <w:r>
              <w:rPr>
                <w:rFonts w:hint="eastAsia" w:ascii="宋体" w:hAnsi="宋体" w:eastAsia="宋体" w:cs="Courier New"/>
                <w:b w:val="0"/>
                <w:color w:val="000000"/>
                <w:kern w:val="0"/>
                <w:sz w:val="21"/>
                <w:szCs w:val="24"/>
                <w:lang w:val="en-US" w:eastAsia="zh-CN" w:bidi="ar-SA"/>
              </w:rPr>
              <w:br w:type="textWrapping"/>
            </w:r>
            <w:r>
              <w:rPr>
                <w:rFonts w:hint="eastAsia" w:ascii="宋体" w:hAnsi="宋体" w:eastAsia="宋体" w:cs="Courier New"/>
                <w:b w:val="0"/>
                <w:color w:val="000000"/>
                <w:kern w:val="0"/>
                <w:sz w:val="21"/>
                <w:szCs w:val="24"/>
                <w:lang w:val="en-US" w:eastAsia="zh-CN" w:bidi="ar-SA"/>
              </w:rPr>
              <w:t>编号</w:t>
            </w:r>
          </w:p>
        </w:tc>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32A0E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传热系数</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E4C1E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窗太阳</w:t>
            </w:r>
            <w:r>
              <w:rPr>
                <w:rFonts w:hint="eastAsia" w:ascii="宋体" w:hAnsi="宋体" w:eastAsia="宋体" w:cs="Courier New"/>
                <w:b w:val="0"/>
                <w:color w:val="000000"/>
                <w:kern w:val="0"/>
                <w:sz w:val="21"/>
                <w:szCs w:val="24"/>
                <w:lang w:val="en-US" w:eastAsia="zh-CN" w:bidi="ar-SA"/>
              </w:rPr>
              <w:br w:type="textWrapping"/>
            </w:r>
            <w:r>
              <w:rPr>
                <w:rFonts w:hint="eastAsia" w:ascii="宋体" w:hAnsi="宋体" w:eastAsia="宋体" w:cs="Courier New"/>
                <w:b w:val="0"/>
                <w:color w:val="000000"/>
                <w:kern w:val="0"/>
                <w:sz w:val="21"/>
                <w:szCs w:val="24"/>
                <w:lang w:val="en-US" w:eastAsia="zh-CN" w:bidi="ar-SA"/>
              </w:rPr>
              <w:t>得热系数</w:t>
            </w:r>
          </w:p>
        </w:tc>
        <w:tc>
          <w:tcPr>
            <w:tcW w:w="10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FAA0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可见光透射比</w:t>
            </w:r>
          </w:p>
        </w:tc>
      </w:tr>
      <w:tr w14:paraId="1AB47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424" w:type="pct"/>
            <w:vMerge w:val="restart"/>
            <w:tcBorders>
              <w:top w:val="single" w:color="000000" w:sz="4" w:space="0"/>
              <w:left w:val="nil"/>
              <w:bottom w:val="single" w:color="000000" w:sz="4" w:space="0"/>
              <w:right w:val="single" w:color="000000" w:sz="4" w:space="0"/>
            </w:tcBorders>
            <w:shd w:val="clear" w:color="auto" w:fill="FFFFFF"/>
            <w:vAlign w:val="center"/>
          </w:tcPr>
          <w:p w14:paraId="06676B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w:t>
            </w:r>
          </w:p>
        </w:tc>
        <w:tc>
          <w:tcPr>
            <w:tcW w:w="1577" w:type="pct"/>
            <w:vMerge w:val="restart"/>
            <w:tcBorders>
              <w:top w:val="single" w:color="000000" w:sz="4" w:space="0"/>
              <w:left w:val="single" w:color="000000" w:sz="4" w:space="0"/>
              <w:bottom w:val="single" w:color="000000" w:sz="4" w:space="0"/>
              <w:right w:val="nil"/>
            </w:tcBorders>
            <w:shd w:val="clear" w:color="auto" w:fill="FFFFFF"/>
            <w:vAlign w:val="center"/>
          </w:tcPr>
          <w:p w14:paraId="269F7FD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5中透光Low-E+15A(空气)+5(窗框比0.25)金属隔热框(隔热条高26mm)</w:t>
            </w:r>
          </w:p>
        </w:tc>
        <w:tc>
          <w:tcPr>
            <w:tcW w:w="527" w:type="pct"/>
            <w:tcBorders>
              <w:top w:val="single" w:color="000000" w:sz="4" w:space="0"/>
              <w:left w:val="nil"/>
              <w:bottom w:val="single" w:color="000000" w:sz="4" w:space="0"/>
              <w:right w:val="single" w:color="000000" w:sz="4" w:space="0"/>
            </w:tcBorders>
            <w:shd w:val="clear" w:color="auto" w:fill="FFFFFF"/>
            <w:vAlign w:val="center"/>
          </w:tcPr>
          <w:p w14:paraId="6EA4414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19</w:t>
            </w:r>
          </w:p>
        </w:tc>
        <w:tc>
          <w:tcPr>
            <w:tcW w:w="6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EAB4D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2.20</w:t>
            </w:r>
          </w:p>
        </w:tc>
        <w:tc>
          <w:tcPr>
            <w:tcW w:w="75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2A624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0.41</w:t>
            </w:r>
          </w:p>
        </w:tc>
        <w:tc>
          <w:tcPr>
            <w:tcW w:w="10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15C01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0.550</w:t>
            </w:r>
          </w:p>
        </w:tc>
      </w:tr>
      <w:tr w14:paraId="4CCC8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424" w:type="pct"/>
            <w:vMerge w:val="continue"/>
            <w:tcBorders>
              <w:top w:val="single" w:color="000000" w:sz="4" w:space="0"/>
              <w:left w:val="nil"/>
              <w:bottom w:val="single" w:color="000000" w:sz="4" w:space="0"/>
              <w:right w:val="single" w:color="000000" w:sz="4" w:space="0"/>
            </w:tcBorders>
            <w:shd w:val="clear" w:color="auto" w:fill="FFFFFF"/>
            <w:vAlign w:val="center"/>
          </w:tcPr>
          <w:p w14:paraId="0D1714F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577" w:type="pct"/>
            <w:vMerge w:val="continue"/>
            <w:tcBorders>
              <w:top w:val="single" w:color="000000" w:sz="4" w:space="0"/>
              <w:left w:val="single" w:color="000000" w:sz="4" w:space="0"/>
              <w:bottom w:val="single" w:color="000000" w:sz="4" w:space="0"/>
              <w:right w:val="nil"/>
            </w:tcBorders>
            <w:shd w:val="clear" w:color="auto" w:fill="FFFFFF"/>
            <w:vAlign w:val="center"/>
          </w:tcPr>
          <w:p w14:paraId="04039FC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2997" w:type="pct"/>
            <w:gridSpan w:val="4"/>
            <w:tcBorders>
              <w:top w:val="single" w:color="000000" w:sz="4" w:space="0"/>
              <w:left w:val="nil"/>
              <w:bottom w:val="single" w:color="000000" w:sz="4" w:space="0"/>
              <w:right w:val="single" w:color="000000" w:sz="4" w:space="0"/>
            </w:tcBorders>
            <w:shd w:val="clear" w:color="auto" w:fill="FFFFFF"/>
            <w:vAlign w:val="center"/>
          </w:tcPr>
          <w:p w14:paraId="6142DA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窗编号</w:t>
            </w:r>
          </w:p>
        </w:tc>
      </w:tr>
      <w:tr w14:paraId="45184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424" w:type="pct"/>
            <w:vMerge w:val="continue"/>
            <w:tcBorders>
              <w:top w:val="single" w:color="000000" w:sz="4" w:space="0"/>
              <w:left w:val="nil"/>
              <w:bottom w:val="single" w:color="000000" w:sz="4" w:space="0"/>
              <w:right w:val="single" w:color="000000" w:sz="4" w:space="0"/>
            </w:tcBorders>
            <w:shd w:val="clear" w:color="auto" w:fill="FFFFFF"/>
            <w:vAlign w:val="center"/>
          </w:tcPr>
          <w:p w14:paraId="588232D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577" w:type="pct"/>
            <w:vMerge w:val="continue"/>
            <w:tcBorders>
              <w:top w:val="single" w:color="000000" w:sz="4" w:space="0"/>
              <w:left w:val="single" w:color="000000" w:sz="4" w:space="0"/>
              <w:bottom w:val="single" w:color="000000" w:sz="4" w:space="0"/>
              <w:right w:val="nil"/>
            </w:tcBorders>
            <w:shd w:val="clear" w:color="auto" w:fill="FFFFFF"/>
            <w:vAlign w:val="center"/>
          </w:tcPr>
          <w:p w14:paraId="7551058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2997" w:type="pct"/>
            <w:gridSpan w:val="4"/>
            <w:tcBorders>
              <w:top w:val="single" w:color="000000" w:sz="4" w:space="0"/>
              <w:left w:val="nil"/>
              <w:bottom w:val="single" w:color="000000" w:sz="4" w:space="0"/>
              <w:right w:val="single" w:color="000000" w:sz="4" w:space="0"/>
            </w:tcBorders>
            <w:shd w:val="clear" w:color="auto" w:fill="FFFFFF"/>
            <w:vAlign w:val="center"/>
          </w:tcPr>
          <w:p w14:paraId="7FC5080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C1531，C3511，C0915，C1821，C3621，PC1815，C1815，C2421，C3021，PC1821，PC2421</w:t>
            </w:r>
          </w:p>
        </w:tc>
      </w:tr>
      <w:tr w14:paraId="6FCDE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424" w:type="pct"/>
            <w:vMerge w:val="continue"/>
            <w:tcBorders>
              <w:top w:val="single" w:color="000000" w:sz="4" w:space="0"/>
              <w:left w:val="nil"/>
              <w:bottom w:val="single" w:color="000000" w:sz="4" w:space="0"/>
              <w:right w:val="single" w:color="000000" w:sz="4" w:space="0"/>
            </w:tcBorders>
            <w:shd w:val="clear" w:color="auto" w:fill="FFFFFF"/>
            <w:vAlign w:val="center"/>
          </w:tcPr>
          <w:p w14:paraId="54B9B3F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4575" w:type="pct"/>
            <w:gridSpan w:val="5"/>
            <w:tcBorders>
              <w:top w:val="single" w:color="000000" w:sz="4" w:space="0"/>
              <w:left w:val="single" w:color="000000" w:sz="4" w:space="0"/>
              <w:bottom w:val="single" w:color="000000" w:sz="4" w:space="0"/>
              <w:right w:val="nil"/>
            </w:tcBorders>
            <w:shd w:val="clear" w:color="auto" w:fill="FFFFFF"/>
            <w:vAlign w:val="center"/>
          </w:tcPr>
          <w:p w14:paraId="183AD54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来源：安徽省《居住建筑节能设计标准》DB34/1466-2019</w:t>
            </w:r>
          </w:p>
        </w:tc>
      </w:tr>
    </w:tbl>
    <w:p w14:paraId="17A40DD3">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rPr>
          <w:rFonts w:hint="eastAsia" w:ascii="宋体" w:hAnsi="宋体" w:cs="Times New Roman"/>
          <w:spacing w:val="-2"/>
          <w:kern w:val="2"/>
          <w:sz w:val="24"/>
          <w:lang w:val="en-US" w:eastAsia="zh-CN"/>
        </w:rPr>
      </w:pPr>
    </w:p>
    <w:p w14:paraId="702BA5C1">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rPr>
          <w:rFonts w:hint="eastAsia" w:ascii="宋体" w:hAnsi="宋体" w:cs="Times New Roman"/>
          <w:spacing w:val="-2"/>
          <w:kern w:val="2"/>
          <w:sz w:val="24"/>
          <w:lang w:val="en-US" w:eastAsia="zh-CN"/>
        </w:rPr>
      </w:pPr>
      <w:r>
        <w:rPr>
          <w:rFonts w:hint="eastAsia" w:ascii="宋体" w:hAnsi="宋体" w:cs="Times New Roman"/>
          <w:spacing w:val="-2"/>
          <w:kern w:val="2"/>
          <w:sz w:val="24"/>
          <w:lang w:val="en-US" w:eastAsia="zh-CN"/>
        </w:rPr>
        <w:drawing>
          <wp:inline distT="0" distB="0" distL="114300" distR="114300">
            <wp:extent cx="5575935" cy="2735580"/>
            <wp:effectExtent l="0" t="0" r="5715" b="762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2"/>
                    <a:stretch>
                      <a:fillRect/>
                    </a:stretch>
                  </pic:blipFill>
                  <pic:spPr>
                    <a:xfrm>
                      <a:off x="0" y="0"/>
                      <a:ext cx="5575935" cy="2735580"/>
                    </a:xfrm>
                    <a:prstGeom prst="rect">
                      <a:avLst/>
                    </a:prstGeom>
                    <a:noFill/>
                    <a:ln>
                      <a:noFill/>
                    </a:ln>
                  </pic:spPr>
                </pic:pic>
              </a:graphicData>
            </a:graphic>
          </wp:inline>
        </w:drawing>
      </w:r>
    </w:p>
    <w:p w14:paraId="098518B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Times New Roman"/>
          <w:spacing w:val="-2"/>
          <w:kern w:val="2"/>
          <w:sz w:val="24"/>
          <w:lang w:val="en-US" w:eastAsia="zh-CN"/>
        </w:rPr>
      </w:pPr>
      <w:r>
        <w:rPr>
          <w:rFonts w:hint="eastAsia" w:ascii="宋体" w:hAnsi="宋体" w:eastAsia="宋体" w:cs="Times New Roman"/>
          <w:kern w:val="2"/>
          <w:sz w:val="21"/>
          <w:szCs w:val="24"/>
          <w:lang w:val="en-US" w:eastAsia="zh-CN"/>
        </w:rPr>
        <w:t>图1-</w:t>
      </w:r>
      <w:r>
        <w:rPr>
          <w:rFonts w:hint="eastAsia" w:ascii="宋体" w:hAnsi="宋体" w:cs="Times New Roman"/>
          <w:kern w:val="2"/>
          <w:sz w:val="21"/>
          <w:szCs w:val="24"/>
          <w:lang w:val="en-US" w:eastAsia="zh-CN"/>
        </w:rPr>
        <w:t>5</w:t>
      </w:r>
      <w:r>
        <w:rPr>
          <w:rFonts w:hint="eastAsia" w:ascii="宋体" w:hAnsi="宋体" w:eastAsia="宋体" w:cs="Times New Roman"/>
          <w:kern w:val="2"/>
          <w:sz w:val="21"/>
          <w:szCs w:val="24"/>
          <w:lang w:val="en-US" w:eastAsia="zh-CN"/>
        </w:rPr>
        <w:t xml:space="preserve">  </w:t>
      </w:r>
      <w:r>
        <w:rPr>
          <w:rFonts w:hint="eastAsia" w:ascii="宋体" w:hAnsi="宋体" w:cs="Times New Roman"/>
          <w:kern w:val="2"/>
          <w:sz w:val="21"/>
          <w:szCs w:val="24"/>
          <w:lang w:val="en-US" w:eastAsia="zh-CN"/>
        </w:rPr>
        <w:t>外窗构造</w:t>
      </w:r>
      <w:r>
        <w:rPr>
          <w:rFonts w:hint="eastAsia" w:ascii="宋体" w:hAnsi="宋体" w:eastAsia="宋体" w:cs="Times New Roman"/>
          <w:kern w:val="2"/>
          <w:sz w:val="21"/>
          <w:szCs w:val="24"/>
          <w:lang w:val="en-US" w:eastAsia="zh-CN"/>
        </w:rPr>
        <w:t>软件设置截图</w:t>
      </w:r>
    </w:p>
    <w:p w14:paraId="3C9E7BAA">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20" w:name="_Toc4478"/>
      <w:r>
        <w:rPr>
          <w:rFonts w:hint="eastAsia" w:ascii="宋体" w:hAnsi="宋体" w:eastAsia="宋体" w:cs="Arial"/>
          <w:b/>
          <w:bCs/>
          <w:iCs/>
          <w:color w:val="000000"/>
          <w:kern w:val="2"/>
          <w:sz w:val="28"/>
          <w:szCs w:val="24"/>
          <w:lang w:val="en-US" w:eastAsia="zh-CN" w:bidi="ar-SA"/>
        </w:rPr>
        <w:t>用能系统设置</w:t>
      </w:r>
      <w:bookmarkEnd w:id="20"/>
    </w:p>
    <w:p w14:paraId="1DCFA05C">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eastAsia="宋体" w:cs="Arial"/>
          <w:b/>
          <w:bCs/>
          <w:kern w:val="2"/>
          <w:sz w:val="24"/>
          <w:szCs w:val="21"/>
          <w:lang w:val="en-US" w:eastAsia="zh-CN" w:bidi="ar-SA"/>
        </w:rPr>
      </w:pPr>
      <w:bookmarkStart w:id="21" w:name="_Toc22406"/>
      <w:r>
        <w:rPr>
          <w:rFonts w:hint="eastAsia" w:ascii="宋体" w:hAnsi="宋体" w:cs="Arial"/>
          <w:b/>
          <w:bCs/>
          <w:kern w:val="2"/>
          <w:sz w:val="24"/>
          <w:szCs w:val="21"/>
          <w:lang w:val="en-US" w:eastAsia="zh-CN" w:bidi="ar-SA"/>
        </w:rPr>
        <w:t>空调系统</w:t>
      </w:r>
      <w:bookmarkEnd w:id="21"/>
    </w:p>
    <w:p w14:paraId="37EE6D97">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本建筑空调系统采用单元式</w:t>
      </w:r>
      <w:r>
        <w:rPr>
          <w:rFonts w:hint="eastAsia" w:ascii="宋体" w:hAnsi="宋体" w:cs="Times New Roman"/>
          <w:spacing w:val="-2"/>
          <w:kern w:val="2"/>
          <w:sz w:val="24"/>
          <w:lang w:val="en-US" w:eastAsia="zh-CN"/>
        </w:rPr>
        <w:t>多联机热泵空调</w:t>
      </w:r>
      <w:r>
        <w:rPr>
          <w:rFonts w:hint="eastAsia" w:ascii="宋体" w:hAnsi="宋体" w:eastAsia="宋体" w:cs="Times New Roman"/>
          <w:spacing w:val="-2"/>
          <w:kern w:val="2"/>
          <w:sz w:val="24"/>
          <w:lang w:val="en-US" w:eastAsia="zh-CN"/>
        </w:rPr>
        <w:t>系统，冷热源一体化，覆盖所有控温房间</w:t>
      </w:r>
      <w:r>
        <w:rPr>
          <w:rFonts w:hint="eastAsia" w:ascii="宋体" w:hAnsi="宋体" w:cs="Times New Roman"/>
          <w:spacing w:val="-2"/>
          <w:kern w:val="2"/>
          <w:sz w:val="24"/>
          <w:lang w:val="en-US" w:eastAsia="zh-CN"/>
        </w:rPr>
        <w:t>。</w:t>
      </w:r>
      <w:r>
        <w:rPr>
          <w:rFonts w:hint="eastAsia" w:ascii="宋体" w:hAnsi="宋体" w:eastAsia="宋体" w:cs="Times New Roman"/>
          <w:spacing w:val="-2"/>
          <w:kern w:val="2"/>
          <w:sz w:val="24"/>
          <w:lang w:val="en-US" w:eastAsia="zh-CN"/>
        </w:rPr>
        <w:t>单元式空调机组全年能源消耗效率APF=3.</w:t>
      </w:r>
      <w:r>
        <w:rPr>
          <w:rFonts w:hint="eastAsia" w:ascii="宋体" w:hAnsi="宋体" w:cs="Times New Roman"/>
          <w:spacing w:val="-2"/>
          <w:kern w:val="2"/>
          <w:sz w:val="24"/>
          <w:lang w:val="en-US" w:eastAsia="zh-CN"/>
        </w:rPr>
        <w:t>2</w:t>
      </w:r>
      <w:r>
        <w:rPr>
          <w:rFonts w:hint="eastAsia" w:ascii="宋体" w:hAnsi="宋体" w:eastAsia="宋体" w:cs="Times New Roman"/>
          <w:spacing w:val="-2"/>
          <w:kern w:val="2"/>
          <w:sz w:val="24"/>
          <w:lang w:val="en-US" w:eastAsia="zh-CN"/>
        </w:rPr>
        <w:t>0，室内机结合房间布局分散布置。</w:t>
      </w:r>
    </w:p>
    <w:p w14:paraId="17C16126">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22" w:name="_Toc13683"/>
      <w:r>
        <w:rPr>
          <w:rFonts w:hint="eastAsia" w:ascii="宋体" w:hAnsi="宋体" w:cs="Arial"/>
          <w:b/>
          <w:bCs/>
          <w:kern w:val="2"/>
          <w:sz w:val="24"/>
          <w:szCs w:val="21"/>
          <w:lang w:val="en-US" w:eastAsia="zh-CN" w:bidi="ar-SA"/>
        </w:rPr>
        <w:t>采暖系统</w:t>
      </w:r>
      <w:bookmarkEnd w:id="22"/>
    </w:p>
    <w:p w14:paraId="660FF9BB">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本建筑无集中供暖，采暖由</w:t>
      </w:r>
      <w:r>
        <w:rPr>
          <w:rFonts w:hint="eastAsia" w:ascii="宋体" w:hAnsi="宋体" w:cs="Times New Roman"/>
          <w:spacing w:val="-2"/>
          <w:kern w:val="2"/>
          <w:sz w:val="24"/>
          <w:lang w:val="en-US" w:eastAsia="zh-CN"/>
        </w:rPr>
        <w:t>多</w:t>
      </w:r>
      <w:r>
        <w:rPr>
          <w:rFonts w:hint="eastAsia" w:ascii="宋体" w:hAnsi="宋体" w:eastAsia="宋体" w:cs="Times New Roman"/>
          <w:spacing w:val="-2"/>
          <w:kern w:val="2"/>
          <w:sz w:val="24"/>
          <w:lang w:val="en-US" w:eastAsia="zh-CN"/>
        </w:rPr>
        <w:t>联机热泵空调承担，与空调系统为同一套设备，冷暖两用。全年能源消耗效率APF=3.</w:t>
      </w:r>
      <w:r>
        <w:rPr>
          <w:rFonts w:hint="eastAsia" w:ascii="宋体" w:hAnsi="宋体" w:cs="Times New Roman"/>
          <w:spacing w:val="-2"/>
          <w:kern w:val="2"/>
          <w:sz w:val="24"/>
          <w:lang w:val="en-US" w:eastAsia="zh-CN"/>
        </w:rPr>
        <w:t>2</w:t>
      </w:r>
      <w:r>
        <w:rPr>
          <w:rFonts w:hint="eastAsia" w:ascii="宋体" w:hAnsi="宋体" w:eastAsia="宋体" w:cs="Times New Roman"/>
          <w:spacing w:val="-2"/>
          <w:kern w:val="2"/>
          <w:sz w:val="24"/>
          <w:lang w:val="en-US" w:eastAsia="zh-CN"/>
        </w:rPr>
        <w:t>0</w:t>
      </w:r>
      <w:r>
        <w:rPr>
          <w:rFonts w:hint="eastAsia" w:ascii="宋体" w:hAnsi="宋体" w:cs="Times New Roman"/>
          <w:spacing w:val="-2"/>
          <w:kern w:val="2"/>
          <w:sz w:val="24"/>
          <w:lang w:val="en-US" w:eastAsia="zh-CN"/>
        </w:rPr>
        <w:t>，</w:t>
      </w:r>
      <w:r>
        <w:rPr>
          <w:rFonts w:hint="eastAsia" w:ascii="宋体" w:hAnsi="宋体" w:eastAsia="宋体" w:cs="Times New Roman"/>
          <w:spacing w:val="-2"/>
          <w:kern w:val="2"/>
          <w:sz w:val="24"/>
          <w:lang w:val="en-US" w:eastAsia="zh-CN"/>
        </w:rPr>
        <w:t>房间独立控温。</w:t>
      </w:r>
    </w:p>
    <w:p w14:paraId="70EC60C3">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Times New Roman"/>
          <w:spacing w:val="-2"/>
          <w:kern w:val="2"/>
          <w:sz w:val="24"/>
          <w:lang w:val="en-US" w:eastAsia="zh-CN"/>
        </w:rPr>
      </w:pPr>
    </w:p>
    <w:p w14:paraId="56B25CDF">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drawing>
          <wp:inline distT="0" distB="0" distL="114300" distR="114300">
            <wp:extent cx="5578475" cy="3775075"/>
            <wp:effectExtent l="0" t="0" r="3175" b="158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3"/>
                    <a:stretch>
                      <a:fillRect/>
                    </a:stretch>
                  </pic:blipFill>
                  <pic:spPr>
                    <a:xfrm>
                      <a:off x="0" y="0"/>
                      <a:ext cx="5578475" cy="3775075"/>
                    </a:xfrm>
                    <a:prstGeom prst="rect">
                      <a:avLst/>
                    </a:prstGeom>
                    <a:noFill/>
                    <a:ln>
                      <a:noFill/>
                    </a:ln>
                  </pic:spPr>
                </pic:pic>
              </a:graphicData>
            </a:graphic>
          </wp:inline>
        </w:drawing>
      </w:r>
    </w:p>
    <w:p w14:paraId="3CF24F7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1"/>
          <w:szCs w:val="24"/>
          <w:lang w:val="en-US" w:eastAsia="zh-CN"/>
        </w:rPr>
      </w:pPr>
      <w:r>
        <w:rPr>
          <w:rFonts w:hint="eastAsia" w:ascii="宋体" w:hAnsi="宋体" w:eastAsia="宋体" w:cs="Times New Roman"/>
          <w:kern w:val="2"/>
          <w:sz w:val="21"/>
          <w:szCs w:val="24"/>
          <w:lang w:val="en-US" w:eastAsia="zh-CN"/>
        </w:rPr>
        <w:t>图1-</w:t>
      </w:r>
      <w:r>
        <w:rPr>
          <w:rFonts w:hint="eastAsia" w:ascii="宋体" w:hAnsi="宋体" w:cs="Times New Roman"/>
          <w:kern w:val="2"/>
          <w:sz w:val="21"/>
          <w:szCs w:val="24"/>
          <w:lang w:val="en-US" w:eastAsia="zh-CN"/>
        </w:rPr>
        <w:t>6</w:t>
      </w:r>
      <w:r>
        <w:rPr>
          <w:rFonts w:hint="eastAsia" w:ascii="宋体" w:hAnsi="宋体" w:eastAsia="宋体" w:cs="Times New Roman"/>
          <w:kern w:val="2"/>
          <w:sz w:val="21"/>
          <w:szCs w:val="24"/>
          <w:lang w:val="en-US" w:eastAsia="zh-CN"/>
        </w:rPr>
        <w:t xml:space="preserve">  软件采暖</w:t>
      </w:r>
      <w:r>
        <w:rPr>
          <w:rFonts w:hint="eastAsia" w:ascii="宋体" w:hAnsi="宋体" w:cs="Times New Roman"/>
          <w:kern w:val="2"/>
          <w:sz w:val="21"/>
          <w:szCs w:val="24"/>
          <w:lang w:val="en-US" w:eastAsia="zh-CN"/>
        </w:rPr>
        <w:t>空调</w:t>
      </w:r>
      <w:r>
        <w:rPr>
          <w:rFonts w:hint="eastAsia" w:ascii="宋体" w:hAnsi="宋体" w:eastAsia="宋体" w:cs="Times New Roman"/>
          <w:kern w:val="2"/>
          <w:sz w:val="21"/>
          <w:szCs w:val="24"/>
          <w:lang w:val="en-US" w:eastAsia="zh-CN"/>
        </w:rPr>
        <w:t>系统参数设置界面截图</w:t>
      </w:r>
    </w:p>
    <w:p w14:paraId="17958CE0">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23" w:name="_Toc29137"/>
      <w:r>
        <w:rPr>
          <w:rFonts w:hint="eastAsia" w:ascii="宋体" w:hAnsi="宋体" w:cs="Arial"/>
          <w:b/>
          <w:bCs/>
          <w:kern w:val="2"/>
          <w:sz w:val="24"/>
          <w:szCs w:val="21"/>
          <w:lang w:val="en-US" w:eastAsia="zh-CN" w:bidi="ar-SA"/>
        </w:rPr>
        <w:t>照明系统</w:t>
      </w:r>
      <w:bookmarkEnd w:id="23"/>
    </w:p>
    <w:p w14:paraId="353004AF">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照明按房间类型分区设置，采用高效节能灯具，功率密度与运行策略符合节能规范。卧室照明功率5W/㎡</w:t>
      </w:r>
      <w:r>
        <w:rPr>
          <w:rFonts w:hint="eastAsia" w:ascii="宋体" w:hAnsi="宋体" w:cs="Times New Roman"/>
          <w:spacing w:val="-2"/>
          <w:kern w:val="2"/>
          <w:sz w:val="24"/>
          <w:lang w:val="en-US" w:eastAsia="zh-CN"/>
        </w:rPr>
        <w:t>，</w:t>
      </w:r>
      <w:r>
        <w:rPr>
          <w:rFonts w:hint="eastAsia" w:ascii="宋体" w:hAnsi="宋体" w:eastAsia="宋体" w:cs="Times New Roman"/>
          <w:spacing w:val="-2"/>
          <w:kern w:val="2"/>
          <w:sz w:val="24"/>
          <w:lang w:val="en-US" w:eastAsia="zh-CN"/>
        </w:rPr>
        <w:t>卫生间照明功率4W/㎡，楼梯间照明功率2W/㎡</w:t>
      </w:r>
      <w:r>
        <w:rPr>
          <w:rFonts w:hint="eastAsia" w:ascii="宋体" w:hAnsi="宋体" w:cs="Times New Roman"/>
          <w:spacing w:val="-2"/>
          <w:kern w:val="2"/>
          <w:sz w:val="24"/>
          <w:lang w:val="en-US" w:eastAsia="zh-CN"/>
        </w:rPr>
        <w:t>。</w:t>
      </w:r>
    </w:p>
    <w:p w14:paraId="17985A5C">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drawing>
          <wp:inline distT="0" distB="0" distL="114300" distR="114300">
            <wp:extent cx="5577205" cy="3485515"/>
            <wp:effectExtent l="0" t="0" r="4445" b="63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34"/>
                    <a:stretch>
                      <a:fillRect/>
                    </a:stretch>
                  </pic:blipFill>
                  <pic:spPr>
                    <a:xfrm>
                      <a:off x="0" y="0"/>
                      <a:ext cx="5577205" cy="3485515"/>
                    </a:xfrm>
                    <a:prstGeom prst="rect">
                      <a:avLst/>
                    </a:prstGeom>
                    <a:noFill/>
                    <a:ln>
                      <a:noFill/>
                    </a:ln>
                  </pic:spPr>
                </pic:pic>
              </a:graphicData>
            </a:graphic>
          </wp:inline>
        </w:drawing>
      </w:r>
    </w:p>
    <w:p w14:paraId="028EFE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kern w:val="2"/>
          <w:sz w:val="21"/>
          <w:szCs w:val="24"/>
          <w:lang w:val="en-US" w:eastAsia="zh-CN"/>
        </w:rPr>
      </w:pPr>
      <w:r>
        <w:rPr>
          <w:rFonts w:hint="eastAsia" w:ascii="宋体" w:hAnsi="宋体" w:eastAsia="宋体" w:cs="Times New Roman"/>
          <w:kern w:val="2"/>
          <w:sz w:val="21"/>
          <w:szCs w:val="24"/>
          <w:lang w:val="en-US" w:eastAsia="zh-CN"/>
        </w:rPr>
        <w:t>图1-</w:t>
      </w:r>
      <w:r>
        <w:rPr>
          <w:rFonts w:hint="eastAsia" w:ascii="宋体" w:hAnsi="宋体" w:cs="Times New Roman"/>
          <w:kern w:val="2"/>
          <w:sz w:val="21"/>
          <w:szCs w:val="24"/>
          <w:lang w:val="en-US" w:eastAsia="zh-CN"/>
        </w:rPr>
        <w:t>7</w:t>
      </w:r>
      <w:r>
        <w:rPr>
          <w:rFonts w:hint="eastAsia" w:ascii="宋体" w:hAnsi="宋体" w:eastAsia="宋体" w:cs="Times New Roman"/>
          <w:kern w:val="2"/>
          <w:sz w:val="21"/>
          <w:szCs w:val="24"/>
          <w:lang w:val="en-US" w:eastAsia="zh-CN"/>
        </w:rPr>
        <w:t xml:space="preserve">  软件照明系统参数设置界面截图</w:t>
      </w:r>
    </w:p>
    <w:p w14:paraId="6598F943">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24" w:name="_Toc15534"/>
      <w:r>
        <w:rPr>
          <w:rFonts w:hint="eastAsia" w:ascii="宋体" w:hAnsi="宋体" w:eastAsia="宋体" w:cs="Arial"/>
          <w:b/>
          <w:bCs/>
          <w:iCs/>
          <w:color w:val="000000"/>
          <w:kern w:val="2"/>
          <w:sz w:val="28"/>
          <w:szCs w:val="24"/>
          <w:lang w:val="en-US" w:eastAsia="zh-CN" w:bidi="ar-SA"/>
        </w:rPr>
        <w:t>运行时间表设置</w:t>
      </w:r>
      <w:bookmarkEnd w:id="24"/>
    </w:p>
    <w:p w14:paraId="112B118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highlight w:val="none"/>
          <w:lang w:val="en-US" w:eastAsia="zh-CN"/>
        </w:rPr>
      </w:pPr>
      <w:bookmarkStart w:id="25" w:name="_Toc29138"/>
      <w:bookmarkStart w:id="26" w:name="heading_20"/>
      <w:r>
        <w:rPr>
          <w:rFonts w:hint="eastAsia" w:ascii="宋体" w:hAnsi="宋体" w:cs="Times New Roman"/>
          <w:spacing w:val="-2"/>
          <w:kern w:val="2"/>
          <w:sz w:val="24"/>
          <w:highlight w:val="none"/>
          <w:lang w:val="en-US" w:eastAsia="zh-CN"/>
        </w:rPr>
        <w:t>建筑内不同功能房间的使用模式存在明显差异，需结合各房间实际使用场景，分别设定人员、照明及设备逐时作息运行时间表。其中，人员作息时间表用于界定各功能区域人员在室率的逐时变化规律，直接决定室内人员散热量、新风需求量，对建筑冷热负荷计算及整体能耗模拟结果影响显著。本建筑各功能房间具体作息设置如下。</w:t>
      </w:r>
    </w:p>
    <w:p w14:paraId="6C9CC278">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highlight w:val="none"/>
          <w:lang w:val="en-US" w:eastAsia="zh-CN" w:bidi="ar-SA"/>
        </w:rPr>
      </w:pPr>
      <w:r>
        <w:rPr>
          <w:rFonts w:hint="eastAsia" w:ascii="宋体" w:hAnsi="宋体" w:cs="Arial"/>
          <w:b/>
          <w:bCs/>
          <w:kern w:val="2"/>
          <w:sz w:val="24"/>
          <w:szCs w:val="21"/>
          <w:highlight w:val="none"/>
          <w:lang w:val="en-US" w:eastAsia="zh-CN" w:bidi="ar-SA"/>
        </w:rPr>
        <w:t>教室</w:t>
      </w:r>
    </w:p>
    <w:p w14:paraId="4A05DF46">
      <w:pPr>
        <w:widowControl/>
        <w:adjustRightInd w:val="0"/>
        <w:snapToGrid w:val="0"/>
        <w:spacing w:line="420" w:lineRule="atLeast"/>
        <w:jc w:val="center"/>
        <w:rPr>
          <w:rFonts w:hint="eastAsia" w:ascii="宋体" w:hAnsi="宋体" w:eastAsia="宋体" w:cs="Times New Roman"/>
          <w:spacing w:val="-2"/>
          <w:kern w:val="2"/>
          <w:sz w:val="24"/>
          <w:highlight w:val="none"/>
          <w:lang w:val="en-US" w:eastAsia="zh-CN"/>
        </w:rPr>
      </w:pPr>
      <w:r>
        <w:rPr>
          <w:rFonts w:hint="eastAsia" w:ascii="楷体_GB2312" w:hAnsi="宋体" w:eastAsia="楷体_GB2312" w:cs="Courier New"/>
          <w:b/>
          <w:bCs/>
          <w:color w:val="000000"/>
          <w:kern w:val="0"/>
          <w:sz w:val="24"/>
          <w:szCs w:val="24"/>
          <w:highlight w:val="none"/>
          <w:lang w:val="en-US" w:eastAsia="zh-CN" w:bidi="ar-SA"/>
        </w:rPr>
        <w:t>表1-4  教室人员作息时间表</w:t>
      </w:r>
    </w:p>
    <w:tbl>
      <w:tblPr>
        <w:tblStyle w:val="22"/>
        <w:tblW w:w="4998"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2255"/>
        <w:gridCol w:w="1824"/>
        <w:gridCol w:w="2689"/>
        <w:gridCol w:w="2257"/>
      </w:tblGrid>
      <w:tr w14:paraId="1543086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49" w:type="pct"/>
            <w:tcBorders>
              <w:top w:val="single" w:color="000000" w:sz="4" w:space="0"/>
              <w:left w:val="nil"/>
              <w:bottom w:val="single" w:color="000000" w:sz="4" w:space="0"/>
              <w:right w:val="single" w:color="000000" w:sz="4" w:space="0"/>
              <w:tl2br w:val="nil"/>
            </w:tcBorders>
            <w:shd w:val="clear" w:color="auto" w:fill="FFFFFF"/>
            <w:tcMar>
              <w:top w:w="60" w:type="dxa"/>
              <w:left w:w="120" w:type="dxa"/>
              <w:bottom w:w="30" w:type="dxa"/>
              <w:right w:w="120" w:type="dxa"/>
            </w:tcMar>
          </w:tcPr>
          <w:p w14:paraId="549F5323">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时段</w:t>
            </w:r>
          </w:p>
        </w:tc>
        <w:tc>
          <w:tcPr>
            <w:tcW w:w="101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9E65A0B">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工作日在室率（%）</w:t>
            </w:r>
          </w:p>
        </w:tc>
        <w:tc>
          <w:tcPr>
            <w:tcW w:w="1489"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5CCCDA55">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节假日/寒暑假在室率（%）</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28F9AE2F">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说明</w:t>
            </w:r>
          </w:p>
        </w:tc>
      </w:tr>
      <w:tr w14:paraId="32F3221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49"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47591490">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0:00–7:00</w:t>
            </w:r>
          </w:p>
        </w:tc>
        <w:tc>
          <w:tcPr>
            <w:tcW w:w="101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0FBBD59E">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489"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89D4FD3">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5595B7D5">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夜间无人</w:t>
            </w:r>
          </w:p>
        </w:tc>
      </w:tr>
      <w:tr w14:paraId="51E6F3D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49"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2075ABC9">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7:00–8:00</w:t>
            </w:r>
          </w:p>
        </w:tc>
        <w:tc>
          <w:tcPr>
            <w:tcW w:w="101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298047F0">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50</w:t>
            </w:r>
          </w:p>
        </w:tc>
        <w:tc>
          <w:tcPr>
            <w:tcW w:w="1489"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5C9A6265">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015B3BB0">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课前准备</w:t>
            </w:r>
          </w:p>
        </w:tc>
      </w:tr>
      <w:tr w14:paraId="2C905D7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49"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04A3A20E">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8:00–11:30</w:t>
            </w:r>
          </w:p>
        </w:tc>
        <w:tc>
          <w:tcPr>
            <w:tcW w:w="101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77CD5D17">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95</w:t>
            </w:r>
          </w:p>
        </w:tc>
        <w:tc>
          <w:tcPr>
            <w:tcW w:w="1489"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24879ECE">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070C2B26">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上午上课，满员</w:t>
            </w:r>
          </w:p>
        </w:tc>
      </w:tr>
      <w:tr w14:paraId="38C4582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49"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3EB3A247">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11:30–13:00</w:t>
            </w:r>
          </w:p>
        </w:tc>
        <w:tc>
          <w:tcPr>
            <w:tcW w:w="101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576F4652">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80</w:t>
            </w:r>
          </w:p>
        </w:tc>
        <w:tc>
          <w:tcPr>
            <w:tcW w:w="1489"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7822157E">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572D08B9">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午休</w:t>
            </w:r>
          </w:p>
        </w:tc>
      </w:tr>
      <w:tr w14:paraId="274DFCE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49"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57C5B70F">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13:00–17:00</w:t>
            </w:r>
          </w:p>
        </w:tc>
        <w:tc>
          <w:tcPr>
            <w:tcW w:w="101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298C941A">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95</w:t>
            </w:r>
          </w:p>
        </w:tc>
        <w:tc>
          <w:tcPr>
            <w:tcW w:w="1489"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ED316EE">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1D281ED0">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下午上课，满员</w:t>
            </w:r>
          </w:p>
        </w:tc>
      </w:tr>
      <w:tr w14:paraId="3FE06A8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49"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1087E964">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17:00–18:00</w:t>
            </w:r>
          </w:p>
        </w:tc>
        <w:tc>
          <w:tcPr>
            <w:tcW w:w="101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1C7FE4B8">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30</w:t>
            </w:r>
          </w:p>
        </w:tc>
        <w:tc>
          <w:tcPr>
            <w:tcW w:w="1489"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5B72D7A1">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67D8066C">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放学离场</w:t>
            </w:r>
          </w:p>
        </w:tc>
      </w:tr>
      <w:tr w14:paraId="22DB2F8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49"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28C76312">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18:00–24:00</w:t>
            </w:r>
          </w:p>
        </w:tc>
        <w:tc>
          <w:tcPr>
            <w:tcW w:w="101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16AD5C2A">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489"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54C587D1">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1E0593A2">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闭楼，无人</w:t>
            </w:r>
          </w:p>
        </w:tc>
      </w:tr>
    </w:tbl>
    <w:p w14:paraId="65655027">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Times New Roman"/>
          <w:spacing w:val="-2"/>
          <w:kern w:val="2"/>
          <w:sz w:val="24"/>
          <w:highlight w:val="none"/>
          <w:lang w:val="en-US" w:eastAsia="zh-CN"/>
        </w:rPr>
      </w:pPr>
    </w:p>
    <w:p w14:paraId="2DDAB246">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2"/>
          <w:kern w:val="2"/>
          <w:sz w:val="24"/>
          <w:highlight w:val="none"/>
          <w:lang w:val="en-US" w:eastAsia="zh-CN"/>
        </w:rPr>
      </w:pPr>
      <w:r>
        <w:rPr>
          <w:rFonts w:hint="eastAsia" w:ascii="宋体" w:hAnsi="宋体" w:eastAsia="宋体" w:cs="Times New Roman"/>
          <w:spacing w:val="-2"/>
          <w:kern w:val="2"/>
          <w:sz w:val="24"/>
          <w:highlight w:val="none"/>
          <w:lang w:val="en-US" w:eastAsia="zh-CN"/>
        </w:rPr>
        <w:drawing>
          <wp:inline distT="0" distB="0" distL="114300" distR="114300">
            <wp:extent cx="5573395" cy="3481705"/>
            <wp:effectExtent l="0" t="0" r="8255" b="444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35"/>
                    <a:stretch>
                      <a:fillRect/>
                    </a:stretch>
                  </pic:blipFill>
                  <pic:spPr>
                    <a:xfrm>
                      <a:off x="0" y="0"/>
                      <a:ext cx="5573395" cy="3481705"/>
                    </a:xfrm>
                    <a:prstGeom prst="rect">
                      <a:avLst/>
                    </a:prstGeom>
                    <a:noFill/>
                    <a:ln>
                      <a:noFill/>
                    </a:ln>
                  </pic:spPr>
                </pic:pic>
              </a:graphicData>
            </a:graphic>
          </wp:inline>
        </w:drawing>
      </w:r>
    </w:p>
    <w:p w14:paraId="0524A77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spacing w:val="-2"/>
          <w:kern w:val="2"/>
          <w:sz w:val="24"/>
          <w:highlight w:val="none"/>
          <w:lang w:val="en-US" w:eastAsia="zh-CN"/>
        </w:rPr>
      </w:pPr>
      <w:r>
        <w:rPr>
          <w:rFonts w:hint="eastAsia" w:ascii="宋体" w:hAnsi="宋体" w:eastAsia="宋体" w:cs="Times New Roman"/>
          <w:kern w:val="2"/>
          <w:sz w:val="21"/>
          <w:szCs w:val="24"/>
          <w:highlight w:val="none"/>
          <w:lang w:val="en-US" w:eastAsia="zh-CN"/>
        </w:rPr>
        <w:t>图1-</w:t>
      </w:r>
      <w:r>
        <w:rPr>
          <w:rFonts w:hint="eastAsia" w:ascii="宋体" w:hAnsi="宋体" w:cs="Times New Roman"/>
          <w:kern w:val="2"/>
          <w:sz w:val="21"/>
          <w:szCs w:val="24"/>
          <w:highlight w:val="none"/>
          <w:lang w:val="en-US" w:eastAsia="zh-CN"/>
        </w:rPr>
        <w:t>10</w:t>
      </w:r>
      <w:r>
        <w:rPr>
          <w:rFonts w:hint="eastAsia" w:ascii="宋体" w:hAnsi="宋体" w:eastAsia="宋体" w:cs="Times New Roman"/>
          <w:kern w:val="2"/>
          <w:sz w:val="21"/>
          <w:szCs w:val="24"/>
          <w:highlight w:val="none"/>
          <w:lang w:val="en-US" w:eastAsia="zh-CN"/>
        </w:rPr>
        <w:t xml:space="preserve">  软件</w:t>
      </w:r>
      <w:r>
        <w:rPr>
          <w:rFonts w:hint="eastAsia" w:ascii="宋体" w:hAnsi="宋体" w:cs="Times New Roman"/>
          <w:kern w:val="2"/>
          <w:sz w:val="21"/>
          <w:szCs w:val="24"/>
          <w:highlight w:val="none"/>
          <w:lang w:val="en-US" w:eastAsia="zh-CN"/>
        </w:rPr>
        <w:t>教室时间表</w:t>
      </w:r>
      <w:r>
        <w:rPr>
          <w:rFonts w:hint="eastAsia" w:ascii="宋体" w:hAnsi="宋体" w:eastAsia="宋体" w:cs="Times New Roman"/>
          <w:kern w:val="2"/>
          <w:sz w:val="21"/>
          <w:szCs w:val="24"/>
          <w:highlight w:val="none"/>
          <w:lang w:val="en-US" w:eastAsia="zh-CN"/>
        </w:rPr>
        <w:t>设置界面截图</w:t>
      </w:r>
    </w:p>
    <w:p w14:paraId="470694EA">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楷体_GB2312" w:hAnsi="宋体" w:eastAsia="楷体_GB2312" w:cs="Courier New"/>
          <w:b/>
          <w:bCs/>
          <w:color w:val="000000"/>
          <w:kern w:val="0"/>
          <w:sz w:val="24"/>
          <w:szCs w:val="24"/>
          <w:highlight w:val="none"/>
          <w:lang w:val="en-US" w:eastAsia="zh-CN" w:bidi="ar-SA"/>
        </w:rPr>
      </w:pPr>
      <w:r>
        <w:rPr>
          <w:rFonts w:hint="eastAsia" w:ascii="宋体" w:hAnsi="宋体" w:cs="Arial"/>
          <w:b/>
          <w:bCs/>
          <w:kern w:val="2"/>
          <w:sz w:val="24"/>
          <w:szCs w:val="21"/>
          <w:highlight w:val="none"/>
          <w:lang w:val="en-US" w:eastAsia="zh-CN" w:bidi="ar-SA"/>
        </w:rPr>
        <w:t>办公室</w:t>
      </w:r>
    </w:p>
    <w:p w14:paraId="4BA8A2ED">
      <w:pPr>
        <w:widowControl/>
        <w:adjustRightInd w:val="0"/>
        <w:snapToGrid w:val="0"/>
        <w:spacing w:line="420" w:lineRule="atLeast"/>
        <w:jc w:val="center"/>
        <w:rPr>
          <w:rFonts w:hint="eastAsia" w:ascii="宋体" w:hAnsi="宋体" w:eastAsia="宋体" w:cs="Times New Roman"/>
          <w:spacing w:val="-2"/>
          <w:kern w:val="2"/>
          <w:sz w:val="24"/>
          <w:highlight w:val="none"/>
          <w:lang w:val="en-US" w:eastAsia="zh-CN"/>
        </w:rPr>
      </w:pPr>
      <w:r>
        <w:rPr>
          <w:rFonts w:hint="eastAsia" w:ascii="楷体_GB2312" w:hAnsi="宋体" w:eastAsia="楷体_GB2312" w:cs="Courier New"/>
          <w:b/>
          <w:bCs/>
          <w:color w:val="000000"/>
          <w:kern w:val="0"/>
          <w:sz w:val="24"/>
          <w:szCs w:val="24"/>
          <w:highlight w:val="none"/>
          <w:lang w:val="en-US" w:eastAsia="zh-CN" w:bidi="ar-SA"/>
        </w:rPr>
        <w:t>表1-5  办公室人员作息时间表</w:t>
      </w:r>
    </w:p>
    <w:p w14:paraId="079522AA">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Times New Roman"/>
          <w:spacing w:val="-2"/>
          <w:kern w:val="2"/>
          <w:sz w:val="24"/>
          <w:highlight w:val="none"/>
          <w:lang w:val="en-US" w:eastAsia="zh-CN"/>
        </w:rPr>
      </w:pPr>
    </w:p>
    <w:tbl>
      <w:tblPr>
        <w:tblStyle w:val="22"/>
        <w:tblW w:w="4998"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2256"/>
        <w:gridCol w:w="2256"/>
        <w:gridCol w:w="2687"/>
        <w:gridCol w:w="1826"/>
      </w:tblGrid>
      <w:tr w14:paraId="75C3733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256" w:type="dxa"/>
            <w:tcBorders>
              <w:top w:val="single" w:color="000000" w:sz="4" w:space="0"/>
              <w:left w:val="nil"/>
              <w:bottom w:val="single" w:color="000000" w:sz="4" w:space="0"/>
              <w:right w:val="single" w:color="000000" w:sz="4" w:space="0"/>
              <w:tl2br w:val="nil"/>
            </w:tcBorders>
            <w:shd w:val="clear" w:color="auto" w:fill="FFFFFF"/>
            <w:tcMar>
              <w:top w:w="60" w:type="dxa"/>
              <w:left w:w="120" w:type="dxa"/>
              <w:bottom w:w="30" w:type="dxa"/>
              <w:right w:w="120" w:type="dxa"/>
            </w:tcMar>
            <w:vAlign w:val="top"/>
          </w:tcPr>
          <w:p w14:paraId="016497EF">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时段</w:t>
            </w:r>
          </w:p>
        </w:tc>
        <w:tc>
          <w:tcPr>
            <w:tcW w:w="2257"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vAlign w:val="top"/>
          </w:tcPr>
          <w:p w14:paraId="57655BB4">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工作日在室率（%）</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vAlign w:val="top"/>
          </w:tcPr>
          <w:p w14:paraId="7FBD974F">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节假日/寒暑假在室率（%）</w:t>
            </w:r>
          </w:p>
        </w:tc>
        <w:tc>
          <w:tcPr>
            <w:tcW w:w="1826" w:type="dxa"/>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vAlign w:val="top"/>
          </w:tcPr>
          <w:p w14:paraId="19DEEF36">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说明</w:t>
            </w:r>
          </w:p>
        </w:tc>
      </w:tr>
      <w:tr w14:paraId="6B52976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256" w:type="dxa"/>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5131BD40">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0:00–7:00</w:t>
            </w:r>
          </w:p>
        </w:tc>
        <w:tc>
          <w:tcPr>
            <w:tcW w:w="2257"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17AD70FE">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29D5BBD9">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826" w:type="dxa"/>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5532722E">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夜间无人</w:t>
            </w:r>
          </w:p>
        </w:tc>
      </w:tr>
      <w:tr w14:paraId="3A35DDB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256" w:type="dxa"/>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7441D7B1">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7:00–8:00</w:t>
            </w:r>
          </w:p>
        </w:tc>
        <w:tc>
          <w:tcPr>
            <w:tcW w:w="2257"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537BE917">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50</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20FE395">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826" w:type="dxa"/>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15E409C1">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上班准备</w:t>
            </w:r>
          </w:p>
        </w:tc>
      </w:tr>
      <w:tr w14:paraId="793D343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256" w:type="dxa"/>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7BB6C7FD">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8:00–12:00</w:t>
            </w:r>
          </w:p>
        </w:tc>
        <w:tc>
          <w:tcPr>
            <w:tcW w:w="2257"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71B5644">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100</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28355419">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826" w:type="dxa"/>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2D33DFB0">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上午办公，满员</w:t>
            </w:r>
          </w:p>
        </w:tc>
      </w:tr>
      <w:tr w14:paraId="403722A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256" w:type="dxa"/>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2AF3FF30">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12:00–13:00</w:t>
            </w:r>
          </w:p>
        </w:tc>
        <w:tc>
          <w:tcPr>
            <w:tcW w:w="2257"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08ED266D">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30</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D813BB1">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826" w:type="dxa"/>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12938045">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午休</w:t>
            </w:r>
          </w:p>
        </w:tc>
      </w:tr>
      <w:tr w14:paraId="583B96F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256" w:type="dxa"/>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68E153A3">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13:00–17:00</w:t>
            </w:r>
          </w:p>
        </w:tc>
        <w:tc>
          <w:tcPr>
            <w:tcW w:w="2257"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D925017">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100</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0F1BF060">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826" w:type="dxa"/>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165800CF">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下午办公，满员</w:t>
            </w:r>
          </w:p>
        </w:tc>
      </w:tr>
      <w:tr w14:paraId="1EC6455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256" w:type="dxa"/>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1508B2FC">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17:00–18:00</w:t>
            </w:r>
          </w:p>
        </w:tc>
        <w:tc>
          <w:tcPr>
            <w:tcW w:w="2257"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1AF8B726">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20</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187897A8">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826" w:type="dxa"/>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7444F1C8">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下班离场</w:t>
            </w:r>
          </w:p>
        </w:tc>
      </w:tr>
      <w:tr w14:paraId="695C52E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2256" w:type="dxa"/>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3E6A1855">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18:00–24:00</w:t>
            </w:r>
          </w:p>
        </w:tc>
        <w:tc>
          <w:tcPr>
            <w:tcW w:w="2257"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62B0FBD">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2688"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C4A669B">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0</w:t>
            </w:r>
          </w:p>
        </w:tc>
        <w:tc>
          <w:tcPr>
            <w:tcW w:w="1826" w:type="dxa"/>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31F6D1C3">
            <w:pPr>
              <w:widowControl/>
              <w:adjustRightInd w:val="0"/>
              <w:snapToGrid w:val="0"/>
              <w:spacing w:line="240" w:lineRule="atLeast"/>
              <w:jc w:val="center"/>
              <w:rPr>
                <w:rFonts w:hint="eastAsia" w:ascii="宋体" w:hAnsi="宋体" w:eastAsia="宋体" w:cs="Courier New"/>
                <w:b w:val="0"/>
                <w:color w:val="000000"/>
                <w:kern w:val="0"/>
                <w:sz w:val="21"/>
                <w:szCs w:val="24"/>
                <w:highlight w:val="none"/>
                <w:lang w:val="en-US" w:eastAsia="zh-CN" w:bidi="ar-SA"/>
              </w:rPr>
            </w:pPr>
            <w:r>
              <w:rPr>
                <w:rFonts w:hint="eastAsia" w:ascii="宋体" w:hAnsi="宋体" w:eastAsia="宋体" w:cs="Courier New"/>
                <w:b w:val="0"/>
                <w:color w:val="000000"/>
                <w:kern w:val="0"/>
                <w:sz w:val="21"/>
                <w:szCs w:val="24"/>
                <w:highlight w:val="none"/>
                <w:lang w:val="en-US" w:eastAsia="zh-CN" w:bidi="ar-SA"/>
              </w:rPr>
              <w:t>闭楼，无人</w:t>
            </w:r>
          </w:p>
        </w:tc>
      </w:tr>
    </w:tbl>
    <w:p w14:paraId="65FA40A2">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Times New Roman"/>
          <w:spacing w:val="-2"/>
          <w:kern w:val="2"/>
          <w:sz w:val="24"/>
          <w:highlight w:val="none"/>
          <w:lang w:val="en-US" w:eastAsia="zh-CN"/>
        </w:rPr>
      </w:pPr>
    </w:p>
    <w:p w14:paraId="73D38CD2">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Times New Roman"/>
          <w:spacing w:val="-2"/>
          <w:kern w:val="2"/>
          <w:sz w:val="24"/>
          <w:highlight w:val="none"/>
          <w:lang w:val="en-US" w:eastAsia="zh-CN"/>
        </w:rPr>
      </w:pPr>
      <w:r>
        <w:rPr>
          <w:rFonts w:hint="eastAsia" w:ascii="宋体" w:hAnsi="宋体" w:eastAsia="宋体" w:cs="Times New Roman"/>
          <w:spacing w:val="-2"/>
          <w:kern w:val="2"/>
          <w:sz w:val="24"/>
          <w:highlight w:val="none"/>
          <w:lang w:val="en-US" w:eastAsia="zh-CN"/>
        </w:rPr>
        <w:drawing>
          <wp:inline distT="0" distB="0" distL="114300" distR="114300">
            <wp:extent cx="5575300" cy="3500120"/>
            <wp:effectExtent l="0" t="0" r="6350" b="508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36"/>
                    <a:stretch>
                      <a:fillRect/>
                    </a:stretch>
                  </pic:blipFill>
                  <pic:spPr>
                    <a:xfrm>
                      <a:off x="0" y="0"/>
                      <a:ext cx="5575300" cy="3500120"/>
                    </a:xfrm>
                    <a:prstGeom prst="rect">
                      <a:avLst/>
                    </a:prstGeom>
                    <a:noFill/>
                    <a:ln>
                      <a:noFill/>
                    </a:ln>
                  </pic:spPr>
                </pic:pic>
              </a:graphicData>
            </a:graphic>
          </wp:inline>
        </w:drawing>
      </w:r>
    </w:p>
    <w:p w14:paraId="071C1D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spacing w:val="-2"/>
          <w:kern w:val="2"/>
          <w:sz w:val="24"/>
          <w:highlight w:val="none"/>
          <w:lang w:val="en-US" w:eastAsia="zh-CN"/>
        </w:rPr>
      </w:pPr>
      <w:r>
        <w:rPr>
          <w:rFonts w:hint="eastAsia" w:ascii="宋体" w:hAnsi="宋体" w:eastAsia="宋体" w:cs="Times New Roman"/>
          <w:kern w:val="2"/>
          <w:sz w:val="21"/>
          <w:szCs w:val="24"/>
          <w:highlight w:val="none"/>
          <w:lang w:val="en-US" w:eastAsia="zh-CN"/>
        </w:rPr>
        <w:t>图1-</w:t>
      </w:r>
      <w:r>
        <w:rPr>
          <w:rFonts w:hint="eastAsia" w:ascii="宋体" w:hAnsi="宋体" w:cs="Times New Roman"/>
          <w:kern w:val="2"/>
          <w:sz w:val="21"/>
          <w:szCs w:val="24"/>
          <w:highlight w:val="none"/>
          <w:lang w:val="en-US" w:eastAsia="zh-CN"/>
        </w:rPr>
        <w:t>10</w:t>
      </w:r>
      <w:r>
        <w:rPr>
          <w:rFonts w:hint="eastAsia" w:ascii="宋体" w:hAnsi="宋体" w:eastAsia="宋体" w:cs="Times New Roman"/>
          <w:kern w:val="2"/>
          <w:sz w:val="21"/>
          <w:szCs w:val="24"/>
          <w:highlight w:val="none"/>
          <w:lang w:val="en-US" w:eastAsia="zh-CN"/>
        </w:rPr>
        <w:t xml:space="preserve">  软件</w:t>
      </w:r>
      <w:r>
        <w:rPr>
          <w:rFonts w:hint="eastAsia" w:ascii="宋体" w:hAnsi="宋体" w:cs="Times New Roman"/>
          <w:kern w:val="2"/>
          <w:sz w:val="21"/>
          <w:szCs w:val="24"/>
          <w:highlight w:val="none"/>
          <w:lang w:val="en-US" w:eastAsia="zh-CN"/>
        </w:rPr>
        <w:t>办公室时间表</w:t>
      </w:r>
      <w:r>
        <w:rPr>
          <w:rFonts w:hint="eastAsia" w:ascii="宋体" w:hAnsi="宋体" w:eastAsia="宋体" w:cs="Times New Roman"/>
          <w:kern w:val="2"/>
          <w:sz w:val="21"/>
          <w:szCs w:val="24"/>
          <w:highlight w:val="none"/>
          <w:lang w:val="en-US" w:eastAsia="zh-CN"/>
        </w:rPr>
        <w:t>设置界面截图</w:t>
      </w:r>
    </w:p>
    <w:p w14:paraId="4226FCFF">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r>
        <w:rPr>
          <w:rFonts w:hint="eastAsia" w:ascii="宋体" w:hAnsi="宋体" w:eastAsia="宋体" w:cs="Arial"/>
          <w:b/>
          <w:bCs/>
          <w:iCs/>
          <w:color w:val="000000"/>
          <w:kern w:val="2"/>
          <w:sz w:val="28"/>
          <w:szCs w:val="24"/>
          <w:lang w:val="en-US" w:eastAsia="zh-CN" w:bidi="ar-SA"/>
        </w:rPr>
        <w:t>能耗分析</w:t>
      </w:r>
      <w:bookmarkEnd w:id="25"/>
      <w:bookmarkEnd w:id="26"/>
    </w:p>
    <w:p w14:paraId="47452A43">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27" w:name="_Toc9"/>
      <w:bookmarkStart w:id="28" w:name="heading_21"/>
      <w:r>
        <w:rPr>
          <w:rFonts w:hint="eastAsia" w:ascii="宋体" w:hAnsi="宋体" w:cs="Arial"/>
          <w:b/>
          <w:bCs/>
          <w:kern w:val="2"/>
          <w:sz w:val="24"/>
          <w:szCs w:val="21"/>
          <w:lang w:val="en-US" w:eastAsia="zh-CN" w:bidi="ar-SA"/>
        </w:rPr>
        <w:t>全年能耗构成</w:t>
      </w:r>
      <w:bookmarkEnd w:id="27"/>
      <w:bookmarkEnd w:id="28"/>
    </w:p>
    <w:p w14:paraId="3BF8D928">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经绿建斯维尔软件模拟计算，本建筑全年总能耗为</w:t>
      </w:r>
      <w:r>
        <w:rPr>
          <w:rFonts w:hint="eastAsia" w:ascii="宋体" w:hAnsi="宋体" w:cs="Times New Roman"/>
          <w:spacing w:val="-2"/>
          <w:kern w:val="2"/>
          <w:sz w:val="24"/>
          <w:lang w:val="en-US" w:eastAsia="zh-CN"/>
        </w:rPr>
        <w:t>301325</w:t>
      </w:r>
      <w:r>
        <w:rPr>
          <w:rFonts w:hint="eastAsia" w:ascii="宋体" w:hAnsi="宋体" w:eastAsia="宋体" w:cs="Times New Roman"/>
          <w:spacing w:val="-2"/>
          <w:kern w:val="2"/>
          <w:sz w:val="24"/>
          <w:lang w:val="en-US" w:eastAsia="zh-CN"/>
        </w:rPr>
        <w:t>kWh/年，单位建筑面积年能耗为</w:t>
      </w:r>
      <w:r>
        <w:rPr>
          <w:rFonts w:hint="eastAsia" w:ascii="宋体" w:hAnsi="宋体" w:cs="Times New Roman"/>
          <w:spacing w:val="-2"/>
          <w:kern w:val="2"/>
          <w:sz w:val="24"/>
          <w:lang w:val="en-US" w:eastAsia="zh-CN"/>
        </w:rPr>
        <w:t>69.74</w:t>
      </w:r>
      <w:r>
        <w:rPr>
          <w:rFonts w:hint="eastAsia" w:ascii="宋体" w:hAnsi="宋体" w:eastAsia="宋体" w:cs="Times New Roman"/>
          <w:spacing w:val="-2"/>
          <w:kern w:val="2"/>
          <w:sz w:val="24"/>
          <w:lang w:val="en-US" w:eastAsia="zh-CN"/>
        </w:rPr>
        <w:t>kWh/m²。各分项能耗统计结果如下：</w:t>
      </w:r>
    </w:p>
    <w:p w14:paraId="1F161ED1">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表1-6  </w:t>
      </w:r>
      <w:r>
        <w:rPr>
          <w:rFonts w:hint="default" w:ascii="楷体_GB2312" w:hAnsi="宋体" w:eastAsia="楷体_GB2312" w:cs="Courier New"/>
          <w:b/>
          <w:bCs/>
          <w:color w:val="000000"/>
          <w:kern w:val="0"/>
          <w:sz w:val="24"/>
          <w:szCs w:val="24"/>
          <w:lang w:val="en-US" w:eastAsia="zh-CN" w:bidi="ar-SA"/>
        </w:rPr>
        <w:t>全年能耗</w:t>
      </w:r>
      <w:r>
        <w:rPr>
          <w:rFonts w:hint="eastAsia" w:ascii="楷体_GB2312" w:hAnsi="宋体" w:eastAsia="楷体_GB2312" w:cs="Courier New"/>
          <w:b/>
          <w:bCs/>
          <w:color w:val="000000"/>
          <w:kern w:val="0"/>
          <w:sz w:val="24"/>
          <w:szCs w:val="24"/>
          <w:lang w:val="en-US" w:eastAsia="zh-CN" w:bidi="ar-SA"/>
        </w:rPr>
        <w:t>分项表</w:t>
      </w:r>
    </w:p>
    <w:tbl>
      <w:tblPr>
        <w:tblStyle w:val="22"/>
        <w:tblW w:w="4997"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3007"/>
        <w:gridCol w:w="3008"/>
        <w:gridCol w:w="3009"/>
      </w:tblGrid>
      <w:tr w14:paraId="2DA80AA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l2br w:val="nil"/>
            </w:tcBorders>
            <w:shd w:val="clear" w:color="auto" w:fill="FFFFFF"/>
            <w:tcMar>
              <w:top w:w="60" w:type="dxa"/>
              <w:left w:w="120" w:type="dxa"/>
              <w:bottom w:w="30" w:type="dxa"/>
              <w:right w:w="120" w:type="dxa"/>
            </w:tcMar>
            <w:vAlign w:val="center"/>
          </w:tcPr>
          <w:p w14:paraId="18E4E80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能耗分项</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vAlign w:val="center"/>
          </w:tcPr>
          <w:p w14:paraId="6F86E07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年能耗（kWh/年）</w:t>
            </w:r>
          </w:p>
        </w:tc>
        <w:tc>
          <w:tcPr>
            <w:tcW w:w="3009" w:type="dxa"/>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vAlign w:val="center"/>
          </w:tcPr>
          <w:p w14:paraId="15E81D4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占比（%）</w:t>
            </w:r>
          </w:p>
        </w:tc>
      </w:tr>
      <w:tr w14:paraId="503BF25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cBorders>
            <w:shd w:val="clear" w:color="auto" w:fill="auto"/>
            <w:tcMar>
              <w:top w:w="60" w:type="dxa"/>
              <w:left w:w="120" w:type="dxa"/>
              <w:bottom w:w="30" w:type="dxa"/>
              <w:right w:w="120" w:type="dxa"/>
            </w:tcMar>
            <w:vAlign w:val="top"/>
          </w:tcPr>
          <w:p w14:paraId="0BF250E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空调供冷能耗</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60" w:type="dxa"/>
              <w:left w:w="120" w:type="dxa"/>
              <w:bottom w:w="30" w:type="dxa"/>
              <w:right w:w="120" w:type="dxa"/>
            </w:tcMar>
            <w:vAlign w:val="top"/>
          </w:tcPr>
          <w:p w14:paraId="38AB1EDE">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166636</w:t>
            </w:r>
          </w:p>
        </w:tc>
        <w:tc>
          <w:tcPr>
            <w:tcW w:w="3009" w:type="dxa"/>
            <w:tcBorders>
              <w:top w:val="single" w:color="000000" w:sz="4" w:space="0"/>
              <w:left w:val="single" w:color="000000" w:sz="4" w:space="0"/>
              <w:bottom w:val="single" w:color="000000" w:sz="4" w:space="0"/>
              <w:right w:val="nil"/>
            </w:tcBorders>
            <w:shd w:val="clear" w:color="auto" w:fill="auto"/>
            <w:tcMar>
              <w:top w:w="60" w:type="dxa"/>
              <w:left w:w="120" w:type="dxa"/>
              <w:bottom w:w="30" w:type="dxa"/>
              <w:right w:w="120" w:type="dxa"/>
            </w:tcMar>
            <w:vAlign w:val="top"/>
          </w:tcPr>
          <w:p w14:paraId="32C226EA">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55.3</w:t>
            </w:r>
          </w:p>
        </w:tc>
      </w:tr>
      <w:tr w14:paraId="22648F7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cBorders>
            <w:shd w:val="clear" w:color="auto" w:fill="auto"/>
            <w:tcMar>
              <w:top w:w="60" w:type="dxa"/>
              <w:left w:w="120" w:type="dxa"/>
              <w:bottom w:w="30" w:type="dxa"/>
              <w:right w:w="120" w:type="dxa"/>
            </w:tcMar>
            <w:vAlign w:val="top"/>
          </w:tcPr>
          <w:p w14:paraId="43F428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空调供暖能耗</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60" w:type="dxa"/>
              <w:left w:w="120" w:type="dxa"/>
              <w:bottom w:w="30" w:type="dxa"/>
              <w:right w:w="120" w:type="dxa"/>
            </w:tcMar>
            <w:vAlign w:val="top"/>
          </w:tcPr>
          <w:p w14:paraId="57B43F12">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20276</w:t>
            </w:r>
          </w:p>
        </w:tc>
        <w:tc>
          <w:tcPr>
            <w:tcW w:w="3009" w:type="dxa"/>
            <w:tcBorders>
              <w:top w:val="single" w:color="000000" w:sz="4" w:space="0"/>
              <w:left w:val="single" w:color="000000" w:sz="4" w:space="0"/>
              <w:bottom w:val="single" w:color="000000" w:sz="4" w:space="0"/>
              <w:right w:val="nil"/>
            </w:tcBorders>
            <w:shd w:val="clear" w:color="auto" w:fill="auto"/>
            <w:tcMar>
              <w:top w:w="60" w:type="dxa"/>
              <w:left w:w="120" w:type="dxa"/>
              <w:bottom w:w="30" w:type="dxa"/>
              <w:right w:w="120" w:type="dxa"/>
            </w:tcMar>
            <w:vAlign w:val="top"/>
          </w:tcPr>
          <w:p w14:paraId="19EEA22F">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6.7</w:t>
            </w:r>
          </w:p>
        </w:tc>
      </w:tr>
      <w:tr w14:paraId="42F8752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cBorders>
            <w:shd w:val="clear" w:color="auto" w:fill="auto"/>
            <w:tcMar>
              <w:top w:w="60" w:type="dxa"/>
              <w:left w:w="120" w:type="dxa"/>
              <w:bottom w:w="30" w:type="dxa"/>
              <w:right w:w="120" w:type="dxa"/>
            </w:tcMar>
            <w:vAlign w:val="top"/>
          </w:tcPr>
          <w:p w14:paraId="671FA10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照明能耗</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60" w:type="dxa"/>
              <w:left w:w="120" w:type="dxa"/>
              <w:bottom w:w="30" w:type="dxa"/>
              <w:right w:w="120" w:type="dxa"/>
            </w:tcMar>
            <w:vAlign w:val="top"/>
          </w:tcPr>
          <w:p w14:paraId="4ACA966F">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61052</w:t>
            </w:r>
          </w:p>
        </w:tc>
        <w:tc>
          <w:tcPr>
            <w:tcW w:w="3009" w:type="dxa"/>
            <w:tcBorders>
              <w:top w:val="single" w:color="000000" w:sz="4" w:space="0"/>
              <w:left w:val="single" w:color="000000" w:sz="4" w:space="0"/>
              <w:bottom w:val="single" w:color="000000" w:sz="4" w:space="0"/>
              <w:right w:val="nil"/>
            </w:tcBorders>
            <w:shd w:val="clear" w:color="auto" w:fill="auto"/>
            <w:tcMar>
              <w:top w:w="60" w:type="dxa"/>
              <w:left w:w="120" w:type="dxa"/>
              <w:bottom w:w="30" w:type="dxa"/>
              <w:right w:w="120" w:type="dxa"/>
            </w:tcMar>
            <w:vAlign w:val="top"/>
          </w:tcPr>
          <w:p w14:paraId="7A759BC1">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20.3</w:t>
            </w:r>
          </w:p>
        </w:tc>
      </w:tr>
      <w:tr w14:paraId="3A2BC80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cBorders>
            <w:shd w:val="clear" w:color="auto" w:fill="auto"/>
            <w:tcMar>
              <w:top w:w="60" w:type="dxa"/>
              <w:left w:w="120" w:type="dxa"/>
              <w:bottom w:w="30" w:type="dxa"/>
              <w:right w:w="120" w:type="dxa"/>
            </w:tcMar>
            <w:vAlign w:val="top"/>
          </w:tcPr>
          <w:p w14:paraId="48A1F3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插座设备能耗</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60" w:type="dxa"/>
              <w:left w:w="120" w:type="dxa"/>
              <w:bottom w:w="30" w:type="dxa"/>
              <w:right w:w="120" w:type="dxa"/>
            </w:tcMar>
            <w:vAlign w:val="top"/>
          </w:tcPr>
          <w:p w14:paraId="0FB250FE">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53361</w:t>
            </w:r>
          </w:p>
        </w:tc>
        <w:tc>
          <w:tcPr>
            <w:tcW w:w="3009" w:type="dxa"/>
            <w:tcBorders>
              <w:top w:val="single" w:color="000000" w:sz="4" w:space="0"/>
              <w:left w:val="single" w:color="000000" w:sz="4" w:space="0"/>
              <w:bottom w:val="single" w:color="000000" w:sz="4" w:space="0"/>
              <w:right w:val="nil"/>
            </w:tcBorders>
            <w:shd w:val="clear" w:color="auto" w:fill="auto"/>
            <w:tcMar>
              <w:top w:w="60" w:type="dxa"/>
              <w:left w:w="120" w:type="dxa"/>
              <w:bottom w:w="30" w:type="dxa"/>
              <w:right w:w="120" w:type="dxa"/>
            </w:tcMar>
            <w:vAlign w:val="top"/>
          </w:tcPr>
          <w:p w14:paraId="68299A96">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17.7</w:t>
            </w:r>
          </w:p>
        </w:tc>
      </w:tr>
      <w:tr w14:paraId="7C333FF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cBorders>
            <w:shd w:val="clear" w:color="auto" w:fill="auto"/>
            <w:tcMar>
              <w:top w:w="60" w:type="dxa"/>
              <w:left w:w="120" w:type="dxa"/>
              <w:bottom w:w="30" w:type="dxa"/>
              <w:right w:w="120" w:type="dxa"/>
            </w:tcMar>
            <w:vAlign w:val="top"/>
          </w:tcPr>
          <w:p w14:paraId="77721E3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合计</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60" w:type="dxa"/>
              <w:left w:w="120" w:type="dxa"/>
              <w:bottom w:w="30" w:type="dxa"/>
              <w:right w:w="120" w:type="dxa"/>
            </w:tcMar>
            <w:vAlign w:val="top"/>
          </w:tcPr>
          <w:p w14:paraId="759A5687">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301325</w:t>
            </w:r>
          </w:p>
        </w:tc>
        <w:tc>
          <w:tcPr>
            <w:tcW w:w="3009" w:type="dxa"/>
            <w:tcBorders>
              <w:top w:val="single" w:color="000000" w:sz="4" w:space="0"/>
              <w:left w:val="single" w:color="000000" w:sz="4" w:space="0"/>
              <w:bottom w:val="single" w:color="000000" w:sz="4" w:space="0"/>
              <w:right w:val="nil"/>
            </w:tcBorders>
            <w:shd w:val="clear" w:color="auto" w:fill="auto"/>
            <w:tcMar>
              <w:top w:w="60" w:type="dxa"/>
              <w:left w:w="120" w:type="dxa"/>
              <w:bottom w:w="30" w:type="dxa"/>
              <w:right w:w="120" w:type="dxa"/>
            </w:tcMar>
            <w:vAlign w:val="top"/>
          </w:tcPr>
          <w:p w14:paraId="2067F4B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r>
    </w:tbl>
    <w:p w14:paraId="6B573B98">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空调系统能耗（供冷+供暖）：占比约62.0%。项目位于夏热冬冷地区，供冷需求较高（占55.3%），供暖需求次之（占6.7%</w:t>
      </w:r>
      <w:r>
        <w:rPr>
          <w:rFonts w:hint="eastAsia" w:ascii="宋体" w:hAnsi="宋体" w:cs="Times New Roman"/>
          <w:spacing w:val="-2"/>
          <w:kern w:val="2"/>
          <w:sz w:val="24"/>
          <w:lang w:val="en-US" w:eastAsia="zh-CN"/>
        </w:rPr>
        <w:t>）</w:t>
      </w:r>
      <w:r>
        <w:rPr>
          <w:rFonts w:hint="eastAsia" w:ascii="宋体" w:hAnsi="宋体" w:eastAsia="宋体" w:cs="Times New Roman"/>
          <w:spacing w:val="-2"/>
          <w:kern w:val="2"/>
          <w:sz w:val="24"/>
          <w:lang w:val="en-US" w:eastAsia="zh-CN"/>
        </w:rPr>
        <w:t>。</w:t>
      </w:r>
    </w:p>
    <w:p w14:paraId="41984667">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照明能耗：占比约20.3%，为第三大能耗项，受建筑使用时间及灯具功率影响。</w:t>
      </w:r>
    </w:p>
    <w:p w14:paraId="5F60353E">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设备能耗：占比约17.7%，主要包括插座设备用电（如</w:t>
      </w:r>
      <w:r>
        <w:rPr>
          <w:rFonts w:hint="eastAsia" w:ascii="宋体" w:hAnsi="宋体" w:cs="Times New Roman"/>
          <w:spacing w:val="-2"/>
          <w:kern w:val="2"/>
          <w:sz w:val="24"/>
          <w:lang w:val="en-US" w:eastAsia="zh-CN"/>
        </w:rPr>
        <w:t>教室</w:t>
      </w:r>
      <w:r>
        <w:rPr>
          <w:rFonts w:hint="eastAsia" w:ascii="宋体" w:hAnsi="宋体" w:eastAsia="宋体" w:cs="Times New Roman"/>
          <w:spacing w:val="-2"/>
          <w:kern w:val="2"/>
          <w:sz w:val="24"/>
          <w:lang w:val="en-US" w:eastAsia="zh-CN"/>
        </w:rPr>
        <w:t>电器、家电等），受设备使用率和待机能耗影响显著。</w:t>
      </w:r>
    </w:p>
    <w:p w14:paraId="0B5AC0A9">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drawing>
          <wp:inline distT="0" distB="0" distL="0" distR="0">
            <wp:extent cx="4991100" cy="42195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stretch>
                      <a:fillRect/>
                    </a:stretch>
                  </pic:blipFill>
                  <pic:spPr>
                    <a:xfrm>
                      <a:off x="0" y="0"/>
                      <a:ext cx="4991624" cy="4220018"/>
                    </a:xfrm>
                    <a:prstGeom prst="rect">
                      <a:avLst/>
                    </a:prstGeom>
                  </pic:spPr>
                </pic:pic>
              </a:graphicData>
            </a:graphic>
          </wp:inline>
        </w:drawing>
      </w:r>
    </w:p>
    <w:p w14:paraId="72CFEED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kern w:val="2"/>
          <w:sz w:val="21"/>
          <w:szCs w:val="24"/>
          <w:lang w:val="en-US" w:eastAsia="zh-CN"/>
        </w:rPr>
        <w:t>图1-</w:t>
      </w:r>
      <w:r>
        <w:rPr>
          <w:rFonts w:hint="eastAsia" w:ascii="宋体" w:hAnsi="宋体" w:cs="Times New Roman"/>
          <w:kern w:val="2"/>
          <w:sz w:val="21"/>
          <w:szCs w:val="24"/>
          <w:lang w:val="en-US" w:eastAsia="zh-CN"/>
        </w:rPr>
        <w:t>11</w:t>
      </w:r>
      <w:r>
        <w:rPr>
          <w:rFonts w:hint="eastAsia" w:ascii="宋体" w:hAnsi="宋体" w:eastAsia="宋体" w:cs="Times New Roman"/>
          <w:kern w:val="2"/>
          <w:sz w:val="21"/>
          <w:szCs w:val="24"/>
          <w:lang w:val="en-US" w:eastAsia="zh-CN"/>
        </w:rPr>
        <w:t xml:space="preserve">  软件</w:t>
      </w:r>
      <w:r>
        <w:rPr>
          <w:rFonts w:hint="eastAsia" w:ascii="宋体" w:hAnsi="宋体" w:cs="Times New Roman"/>
          <w:kern w:val="2"/>
          <w:sz w:val="21"/>
          <w:szCs w:val="24"/>
          <w:lang w:val="en-US" w:eastAsia="zh-CN"/>
        </w:rPr>
        <w:t>总能耗构成</w:t>
      </w:r>
      <w:r>
        <w:rPr>
          <w:rFonts w:hint="eastAsia" w:ascii="宋体" w:hAnsi="宋体" w:eastAsia="宋体" w:cs="Times New Roman"/>
          <w:kern w:val="2"/>
          <w:sz w:val="21"/>
          <w:szCs w:val="24"/>
          <w:lang w:val="en-US" w:eastAsia="zh-CN"/>
        </w:rPr>
        <w:t>界面截图</w:t>
      </w:r>
    </w:p>
    <w:p w14:paraId="1C6B34D0">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29" w:name="_Toc5007"/>
      <w:bookmarkStart w:id="30" w:name="heading_22"/>
      <w:r>
        <w:rPr>
          <w:rFonts w:hint="eastAsia" w:ascii="宋体" w:hAnsi="宋体" w:cs="Arial"/>
          <w:b/>
          <w:bCs/>
          <w:kern w:val="2"/>
          <w:sz w:val="24"/>
          <w:szCs w:val="21"/>
          <w:lang w:val="en-US" w:eastAsia="zh-CN" w:bidi="ar-SA"/>
        </w:rPr>
        <w:t>节能性评价</w:t>
      </w:r>
      <w:bookmarkEnd w:id="29"/>
      <w:bookmarkEnd w:id="30"/>
    </w:p>
    <w:p w14:paraId="611E880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按《建筑节能与可再生能源利用通用规范》GB55015-</w:t>
      </w:r>
      <w:r>
        <w:rPr>
          <w:rFonts w:hint="eastAsia" w:ascii="宋体" w:hAnsi="宋体" w:cs="Times New Roman"/>
          <w:spacing w:val="-2"/>
          <w:kern w:val="2"/>
          <w:sz w:val="24"/>
          <w:lang w:val="en-US" w:eastAsia="zh-CN"/>
        </w:rPr>
        <w:t>20</w:t>
      </w:r>
      <w:r>
        <w:rPr>
          <w:rFonts w:hint="eastAsia" w:ascii="宋体" w:hAnsi="宋体" w:eastAsia="宋体" w:cs="Times New Roman"/>
          <w:spacing w:val="-2"/>
          <w:kern w:val="2"/>
          <w:sz w:val="24"/>
          <w:lang w:val="en-US" w:eastAsia="zh-CN"/>
        </w:rPr>
        <w:t>21标准核算，改造前建筑围护结构保温性能一般，无可再生能源利用（太阳能集热、光伏均为0），建筑本体节能率低于规范72%要求，不满足现行居住建筑节能设计标准，围护结构保温、无可再生能源利用是主要短板。</w:t>
      </w:r>
    </w:p>
    <w:p w14:paraId="151E5361">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31" w:name="_Toc13358"/>
      <w:bookmarkStart w:id="32" w:name="heading_23"/>
      <w:r>
        <w:rPr>
          <w:rFonts w:hint="eastAsia" w:ascii="宋体" w:hAnsi="宋体" w:eastAsia="宋体" w:cs="Arial"/>
          <w:b/>
          <w:bCs/>
          <w:iCs/>
          <w:color w:val="000000"/>
          <w:kern w:val="2"/>
          <w:sz w:val="28"/>
          <w:szCs w:val="24"/>
          <w:lang w:val="en-US" w:eastAsia="zh-CN" w:bidi="ar-SA"/>
        </w:rPr>
        <w:t>采光模拟</w:t>
      </w:r>
      <w:bookmarkEnd w:id="31"/>
      <w:bookmarkEnd w:id="32"/>
    </w:p>
    <w:p w14:paraId="602A9D7B">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《建筑采光设计标准》GB50033-2013以采光系数平均值作为采光设计的关键性评价指标。</w:t>
      </w:r>
    </w:p>
    <w:p w14:paraId="5C01BCA7">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在室内参考平上的一点，由直接或间接地接收来自假定和已知天空亮度分布的天空漫射光而产生的照度与同一时刻该天空半球在室外无遮挡水平面上产生的天空漫射光照度之比。</w:t>
      </w:r>
    </w:p>
    <w:p w14:paraId="05B0449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室内某一点的采光系数C，计算公式为：</w:t>
      </w:r>
    </w:p>
    <w:p w14:paraId="38759F9E">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drawing>
          <wp:anchor distT="0" distB="0" distL="0" distR="0" simplePos="0" relativeHeight="251664384" behindDoc="1" locked="0" layoutInCell="1" allowOverlap="1">
            <wp:simplePos x="0" y="0"/>
            <wp:positionH relativeFrom="column">
              <wp:posOffset>2362835</wp:posOffset>
            </wp:positionH>
            <wp:positionV relativeFrom="paragraph">
              <wp:posOffset>24130</wp:posOffset>
            </wp:positionV>
            <wp:extent cx="1076325" cy="447675"/>
            <wp:effectExtent l="0" t="0" r="0" b="0"/>
            <wp:wrapTight wrapText="bothSides">
              <wp:wrapPolygon>
                <wp:start x="7073" y="2298"/>
                <wp:lineTo x="1912" y="6434"/>
                <wp:lineTo x="191" y="8272"/>
                <wp:lineTo x="191" y="11489"/>
                <wp:lineTo x="4970" y="17004"/>
                <wp:lineTo x="6499" y="17464"/>
                <wp:lineTo x="8219" y="19762"/>
                <wp:lineTo x="8602" y="20681"/>
                <wp:lineTo x="9749" y="20681"/>
                <wp:lineTo x="10322" y="18383"/>
                <wp:lineTo x="20644" y="11949"/>
                <wp:lineTo x="20835" y="7353"/>
                <wp:lineTo x="8984" y="2298"/>
                <wp:lineTo x="7073" y="2298"/>
              </wp:wrapPolygon>
            </wp:wrapTight>
            <wp:docPr id="16" name="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ject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076325" cy="447675"/>
                    </a:xfrm>
                    <a:prstGeom prst="rect">
                      <a:avLst/>
                    </a:prstGeom>
                    <a:noFill/>
                    <a:ln>
                      <a:noFill/>
                    </a:ln>
                  </pic:spPr>
                </pic:pic>
              </a:graphicData>
            </a:graphic>
          </wp:anchor>
        </w:drawing>
      </w:r>
      <w:r>
        <w:rPr>
          <w:rFonts w:hint="eastAsia" w:ascii="宋体" w:hAnsi="宋体" w:eastAsia="宋体" w:cs="Times New Roman"/>
          <w:spacing w:val="-2"/>
          <w:kern w:val="2"/>
          <w:sz w:val="24"/>
          <w:lang w:val="en-US" w:eastAsia="zh-CN"/>
        </w:rPr>
        <w:t xml:space="preserve">                                       (公式2）</w:t>
      </w:r>
    </w:p>
    <w:p w14:paraId="306E6729">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式中：</w:t>
      </w:r>
    </w:p>
    <w:p w14:paraId="0D461A66">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En——室内照度，lx；</w:t>
      </w:r>
    </w:p>
    <w:p w14:paraId="2F26B4E4">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Ew——室外照度，lx。</w:t>
      </w:r>
    </w:p>
    <w:p w14:paraId="1DD3B31D">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33" w:name="heading_24"/>
      <w:bookmarkStart w:id="34" w:name="_Toc16298"/>
      <w:r>
        <w:rPr>
          <w:rFonts w:hint="eastAsia" w:ascii="宋体" w:hAnsi="宋体" w:cs="Arial"/>
          <w:b/>
          <w:bCs/>
          <w:kern w:val="2"/>
          <w:sz w:val="24"/>
          <w:szCs w:val="21"/>
          <w:lang w:val="en-US" w:eastAsia="zh-CN" w:bidi="ar-SA"/>
        </w:rPr>
        <w:t>采光模拟</w:t>
      </w:r>
      <w:bookmarkEnd w:id="33"/>
      <w:bookmarkEnd w:id="34"/>
    </w:p>
    <w:p w14:paraId="552DA488">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根据《建筑采光设计标准》GB 50033-2013、《建筑环境通用规范》GB 55016-2021要求，本项目需计算建筑内主要功能房间的平均采光系数。</w:t>
      </w:r>
      <w:r>
        <w:rPr>
          <w:rFonts w:hint="eastAsia" w:ascii="宋体" w:hAnsi="宋体" w:cs="Times New Roman"/>
          <w:spacing w:val="-2"/>
          <w:kern w:val="2"/>
          <w:sz w:val="24"/>
          <w:lang w:val="en-US" w:eastAsia="zh-CN"/>
        </w:rPr>
        <w:t>以</w:t>
      </w:r>
      <w:r>
        <w:rPr>
          <w:rFonts w:hint="eastAsia" w:ascii="宋体" w:hAnsi="宋体" w:eastAsia="宋体" w:cs="Times New Roman"/>
          <w:spacing w:val="-2"/>
          <w:kern w:val="2"/>
          <w:sz w:val="24"/>
          <w:lang w:val="en-US" w:eastAsia="zh-CN"/>
        </w:rPr>
        <w:t>一层</w:t>
      </w:r>
      <w:r>
        <w:rPr>
          <w:rFonts w:hint="eastAsia" w:ascii="宋体" w:hAnsi="宋体" w:cs="Times New Roman"/>
          <w:spacing w:val="-2"/>
          <w:kern w:val="2"/>
          <w:sz w:val="24"/>
          <w:lang w:val="en-US" w:eastAsia="zh-CN"/>
        </w:rPr>
        <w:t>为例</w:t>
      </w:r>
      <w:r>
        <w:rPr>
          <w:rFonts w:hint="eastAsia" w:ascii="宋体" w:hAnsi="宋体" w:eastAsia="宋体" w:cs="Times New Roman"/>
          <w:spacing w:val="-2"/>
          <w:kern w:val="2"/>
          <w:sz w:val="24"/>
          <w:lang w:val="en-US" w:eastAsia="zh-CN"/>
        </w:rPr>
        <w:t>计算结果见下表：</w:t>
      </w:r>
    </w:p>
    <w:p w14:paraId="53CF883F">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表1-7  采光分析表</w:t>
      </w:r>
    </w:p>
    <w:tbl>
      <w:tblPr>
        <w:tblStyle w:val="22"/>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506"/>
        <w:gridCol w:w="1896"/>
        <w:gridCol w:w="1275"/>
        <w:gridCol w:w="688"/>
        <w:gridCol w:w="737"/>
        <w:gridCol w:w="852"/>
        <w:gridCol w:w="974"/>
        <w:gridCol w:w="1180"/>
        <w:gridCol w:w="892"/>
      </w:tblGrid>
      <w:tr w14:paraId="3603E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tcBorders>
              <w:top w:val="single" w:color="000000" w:sz="4" w:space="0"/>
              <w:left w:val="nil"/>
              <w:bottom w:val="single" w:color="000000" w:sz="4" w:space="0"/>
              <w:right w:val="single" w:color="000000" w:sz="4" w:space="0"/>
              <w:tl2br w:val="nil"/>
            </w:tcBorders>
            <w:shd w:val="clear" w:color="auto" w:fill="FFFFFF"/>
            <w:vAlign w:val="center"/>
          </w:tcPr>
          <w:p w14:paraId="4BF80BF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楼层</w:t>
            </w: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CCA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A97FD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对标功能</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F842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采光等级</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2F67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采光类型</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EE715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房间面积</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109B3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采光系数C(%)</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19757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采光系数</w:t>
            </w:r>
            <w:r>
              <w:rPr>
                <w:rFonts w:hint="eastAsia" w:ascii="宋体" w:hAnsi="宋体" w:eastAsia="宋体" w:cs="Courier New"/>
                <w:b w:val="0"/>
                <w:color w:val="000000"/>
                <w:kern w:val="0"/>
                <w:sz w:val="21"/>
                <w:szCs w:val="24"/>
                <w:lang w:val="en-US" w:eastAsia="zh-CN" w:bidi="ar-SA"/>
              </w:rPr>
              <w:br w:type="textWrapping"/>
            </w:r>
            <w:r>
              <w:rPr>
                <w:rFonts w:hint="eastAsia" w:ascii="宋体" w:hAnsi="宋体" w:eastAsia="宋体" w:cs="Courier New"/>
                <w:b w:val="0"/>
                <w:color w:val="000000"/>
                <w:kern w:val="0"/>
                <w:sz w:val="21"/>
                <w:szCs w:val="24"/>
                <w:lang w:val="en-US" w:eastAsia="zh-CN" w:bidi="ar-SA"/>
              </w:rPr>
              <w:t>标准值(%)</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58C2DF3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结论</w:t>
            </w:r>
          </w:p>
        </w:tc>
      </w:tr>
      <w:tr w14:paraId="12C25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restart"/>
            <w:tcBorders>
              <w:top w:val="single" w:color="000000" w:sz="4" w:space="0"/>
              <w:left w:val="nil"/>
              <w:bottom w:val="single" w:color="000000" w:sz="4" w:space="0"/>
              <w:right w:val="single" w:color="000000" w:sz="4" w:space="0"/>
            </w:tcBorders>
            <w:shd w:val="clear" w:color="auto" w:fill="FFFFFF"/>
            <w:vAlign w:val="center"/>
          </w:tcPr>
          <w:p w14:paraId="37E2200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w:t>
            </w: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F938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1001[普通教室]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2752D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15FE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6A91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4389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132.12</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EED90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2.87</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B36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6A7D0D1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4B3005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5799BDC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B9624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1002[普通教室]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1D563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01697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5D5E2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BCD77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5032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2.72</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3355F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6285607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5E6D0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5E32B99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75A72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1003[普通教室]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EC59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951AA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C8CF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2CB6E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CE4A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2.73</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64268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4B238BF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07CB5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3F6277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CE7CB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1004[普通教室]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0E363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60CD1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AECF5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9C2DB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334B7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2.53</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700E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306C1C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6B6DE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7E3172B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98CC7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1005[普通教室]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45CB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FC8CE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A5EDA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F804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66.53</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7CACD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2.71</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FA83A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036E7D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5E518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2C87177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70593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1006[普通教室]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565F6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14F1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7044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7AEB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DA665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2.85</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0C82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5C515CD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2AA27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08F4D0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D4E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1007[普通教室]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A1380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0CF5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7E74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5B46B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D27DF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2.75</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DC74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37765DA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3CEE7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109F30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FB537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1008[普通教室]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38C2B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4E423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09713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3078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65.15</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6B3C0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2.61</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938BE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1CF29DF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5644C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1B58DC8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080C7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1009[普通教室]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D8291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E605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35B75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4819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B2766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2.74</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A9D99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1F82F37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7B218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6AF717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A7EE69">
            <w:pPr>
              <w:widowControl/>
              <w:adjustRightInd w:val="0"/>
              <w:snapToGrid w:val="0"/>
              <w:spacing w:line="240" w:lineRule="atLeast"/>
              <w:jc w:val="both"/>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1013[普通办公室]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6C60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教师办公室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11C0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4C6B3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3DF9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19.20</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43DE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0.91</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EC2EB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1108531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11B8D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7C1BA8E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7F6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1016[普通教室]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8CF7E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07189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A2723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1ACD2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16.71</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0BCB6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1.31</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85DF0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7071189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27329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1D93A8C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BA06B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1017[普通教室]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D42C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8C3C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F516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70E3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16.71</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E3918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1.30</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E2C86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16AA8E0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415B4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restart"/>
            <w:tcBorders>
              <w:top w:val="single" w:color="000000" w:sz="4" w:space="0"/>
              <w:left w:val="nil"/>
              <w:bottom w:val="single" w:color="000000" w:sz="4" w:space="0"/>
              <w:right w:val="single" w:color="000000" w:sz="4" w:space="0"/>
            </w:tcBorders>
            <w:shd w:val="clear" w:color="auto" w:fill="FFFFFF"/>
            <w:vAlign w:val="center"/>
          </w:tcPr>
          <w:p w14:paraId="6F12CB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w:t>
            </w: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0B2DD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2001[普通教室]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8FC1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0B15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54C5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D21DF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C522A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2.61</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BB1BD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6EF37D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62B8E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1EACE3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21DFE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2002[普通教室]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CD9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868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E6438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14D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A357D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2.50</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6A90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724414D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136BC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2865EC2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1E8FF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2003[普通教室]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E483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570E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2083E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FAA1A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31A1A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2.72</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D1F9A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04E74B5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06C4E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5FE98BA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4B2C0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2004[普通教室]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068CE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31AD5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9D6D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766A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EDB08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2.69</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77A6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26FC854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5053E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37F4577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3E2DA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2005[普通教室]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F85C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B2AAB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E759E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AF58C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3A1A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2.81</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F2E9B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08DCD4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66B8D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52AEC90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840A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2006[普通教室]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1AB89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A1DEF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28D26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C7AF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7CB02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2.59</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56F5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70DDCED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12177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79F3FD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E757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2007[普通教室]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EF354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C2B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9BF14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9D057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A9F8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2.44</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C0E14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206949C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15BED5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C7AC35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E784F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2008[普通教室]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B08F7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882F4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56963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0A4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D7136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2.69</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443C1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3EEA436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4B41F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15810BA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D7CD6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2009[普通教室]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63F1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5532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5DB3A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7965C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9189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2.65</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DB97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5EBBBA5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72C847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A0CA54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230BC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2010[普通教室]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A4A84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BBFBE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59EC5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5EEE8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3267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2.60</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845C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5914E31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0D6F3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0D4579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FDD43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2014[普通办公室]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7E5A4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教师办公室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258D1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BF8E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E77B7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19.20</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0CDB6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1.37</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A6626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0251BDB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1B208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51E3894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D0BF8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2017[普通教室]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EBE4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0DA6C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506EB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0EA7F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16.71</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383A4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1.39</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86F0C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3CAA27B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7ACD8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7A158F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449DE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2018[普通教室]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C2CB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192B5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5427C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4034B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16.71</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13D83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1.31</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42A6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45A95B2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29905A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restart"/>
            <w:tcBorders>
              <w:top w:val="single" w:color="000000" w:sz="4" w:space="0"/>
              <w:left w:val="nil"/>
              <w:bottom w:val="single" w:color="000000" w:sz="4" w:space="0"/>
              <w:right w:val="single" w:color="000000" w:sz="4" w:space="0"/>
            </w:tcBorders>
            <w:shd w:val="clear" w:color="auto" w:fill="FFFFFF"/>
            <w:vAlign w:val="center"/>
          </w:tcPr>
          <w:p w14:paraId="4A7CE24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w:t>
            </w: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66A6F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3001[普通教室]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222D5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CEA0F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2BE6E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8A12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7BC5C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2.71</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B9EB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6335837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62E3C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72D8182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160A6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3002[普通教室]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278F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A0265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82F03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10BB1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F03E7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2.83</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E08D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6C5BFC0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704D1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7F955DB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57EA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3003[普通教室]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AFFFE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3488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3182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E4B5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25451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2.72</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7FA63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2801CD7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71CC3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3E91D4B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ED773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3004[普通教室]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04D89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46D4C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98230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3D74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8713F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2.65</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7D2A3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124D714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0A9FC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3B7E9B4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E95B1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3005[普通教室]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9396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3C537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03C8C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E48EB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73E64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2.72</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F5A53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3440522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4A95F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1C37507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2E21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3006[普通教室]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7146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87813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38A21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D1AD7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54CED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2.89</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B1F5A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49CE7C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418DE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700BEC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33F27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3007[普通教室]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C0843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E1FDC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9554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67816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A391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2.74</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7A3A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72B8A90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161C2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0EBBF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61AC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3008[普通教室]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4547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5B887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78217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61F2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65.15</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E8E80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2.56</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7FED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4C873E9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417E4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4E4943A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5AF1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3009[普通教室]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E948E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A864D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8AF93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0D31D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6463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2.81</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8CCCE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414A0BD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46086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582E575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8F09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3010[普通教室]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CEB1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E5475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2949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BA592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4DCA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2.76</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93A6F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2B58A69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28A13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72E263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B8C7E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3014[普通办公室]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91404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教师办公室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A25D4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F09EA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D995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19.20</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47B3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1.43</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835E4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5A671BD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39A67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3A3C677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6D7D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3017[普通教室]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BF8AD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31DF2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6E54A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37DDA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16.71</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EA28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1.41</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BCDC8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394136C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3BDB9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4D77B7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6EB7D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3018[普通教室]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A85EF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380D3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07A2B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F5076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16.71</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4589F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1.42</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4061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628A7F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1B321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restart"/>
            <w:tcBorders>
              <w:top w:val="single" w:color="000000" w:sz="4" w:space="0"/>
              <w:left w:val="nil"/>
              <w:bottom w:val="single" w:color="000000" w:sz="4" w:space="0"/>
              <w:right w:val="single" w:color="000000" w:sz="4" w:space="0"/>
            </w:tcBorders>
            <w:shd w:val="clear" w:color="auto" w:fill="FFFFFF"/>
            <w:vAlign w:val="center"/>
          </w:tcPr>
          <w:p w14:paraId="30FCDA3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w:t>
            </w: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8CDFD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4001[普通教室]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1103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8F63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FF848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879CF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0520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2.79</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24C40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59735BE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31CE1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E6C68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E03AD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4002[普通教室]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46D3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53F34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9EA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D420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6BE1B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2.12</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D696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1DBAA9D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0F993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A9358A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00AE1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4003[普通教室]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3463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E94EA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8DD9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04A6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D8E16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2.86</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DA1E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2FCA703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0C522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7DE2A3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BC7CB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4004[普通教室]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03EE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FBEA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7CAF0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05B39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ADF8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2.87</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FF7FD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7CC3A0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7EE2DD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0396B26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77C2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4005[普通教室]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6EB9E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BED86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F2C1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CF457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8B1BA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2.79</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36800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179A463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46A67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33FAA10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76A0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4006[普通教室]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53A2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F0DF5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C026D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719B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B6F97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2.94</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B91B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4F9799C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7FE89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51C3A67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A8D5D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4007[普通教室]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DFF3B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B539C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8A4E4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27F4A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65.15</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5C783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2.73</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A70FB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2DCE171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7584F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5EA18D6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2D74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4008[普通教室]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D8F71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08E38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59A9C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B8277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E2BE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2.83</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6769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4F457BE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5B3BC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DE3008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C7B0A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4009[普通教室]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11EA9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B0C4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E4079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D74C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7F6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2.79</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181CA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73DB6B7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05B07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0C673CA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9D17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4010[普通教室]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7FEA1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112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256AE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A03A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EF2C8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2.92</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1F814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56ECAB5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7D5FF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083B49A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D8A3A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4014[普通办公室]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51315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教师办公室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F1A85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6C732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4EBB4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19.20</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17BE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1.44</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270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62FCE40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12D89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628D368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382BF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4017[普通教室]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833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0422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A9647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26184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16.71</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C0037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1.43</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90A2D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4081528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r w14:paraId="3DAEB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281" w:type="pct"/>
            <w:vMerge w:val="continue"/>
            <w:tcBorders>
              <w:top w:val="single" w:color="000000" w:sz="4" w:space="0"/>
              <w:left w:val="nil"/>
              <w:bottom w:val="single" w:color="000000" w:sz="4" w:space="0"/>
              <w:right w:val="single" w:color="000000" w:sz="4" w:space="0"/>
            </w:tcBorders>
            <w:shd w:val="clear" w:color="auto" w:fill="FFFFFF"/>
            <w:vAlign w:val="center"/>
          </w:tcPr>
          <w:p w14:paraId="4ACEFCF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05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8B29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4018[普通教室]</w:t>
            </w:r>
          </w:p>
        </w:tc>
        <w:tc>
          <w:tcPr>
            <w:tcW w:w="70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55D67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8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4312A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0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163E6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7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AA38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16.71</w:t>
            </w:r>
          </w:p>
        </w:tc>
        <w:tc>
          <w:tcPr>
            <w:tcW w:w="5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D59AD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1.44</w:t>
            </w:r>
          </w:p>
        </w:tc>
        <w:tc>
          <w:tcPr>
            <w:tcW w:w="65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37958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95" w:type="pct"/>
            <w:tcBorders>
              <w:top w:val="single" w:color="000000" w:sz="4" w:space="0"/>
              <w:left w:val="single" w:color="000000" w:sz="4" w:space="0"/>
              <w:bottom w:val="single" w:color="000000" w:sz="4" w:space="0"/>
              <w:right w:val="nil"/>
            </w:tcBorders>
            <w:shd w:val="clear" w:color="auto" w:fill="FFFFFF"/>
            <w:vAlign w:val="center"/>
          </w:tcPr>
          <w:p w14:paraId="0EC865A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w:t>
            </w:r>
          </w:p>
        </w:tc>
      </w:tr>
    </w:tbl>
    <w:p w14:paraId="3B83A16F">
      <w:pPr>
        <w:widowControl w:val="0"/>
        <w:tabs>
          <w:tab w:val="left" w:pos="3472"/>
          <w:tab w:val="clear" w:pos="377"/>
        </w:tabs>
        <w:spacing w:line="400" w:lineRule="exact"/>
        <w:ind w:firstLine="472" w:firstLineChars="200"/>
        <w:rPr>
          <w:rFonts w:ascii="微软雅黑" w:hAnsi="微软雅黑" w:eastAsia="微软雅黑" w:cs="Times New Roman"/>
          <w:sz w:val="21"/>
          <w:szCs w:val="21"/>
          <w:lang w:val="en-US" w:eastAsia="zh-CN" w:bidi="ar-SA"/>
        </w:rPr>
      </w:pPr>
      <w:r>
        <w:rPr>
          <w:rFonts w:hint="eastAsia" w:ascii="宋体" w:hAnsi="宋体" w:eastAsia="宋体" w:cs="Times New Roman"/>
          <w:spacing w:val="-2"/>
          <w:kern w:val="2"/>
          <w:sz w:val="24"/>
          <w:lang w:val="en-US" w:eastAsia="zh-CN"/>
        </w:rPr>
        <w:t>采光系数分析彩图可以直观地反应建筑内各个房间的采光效果，</w:t>
      </w:r>
      <w:r>
        <w:rPr>
          <w:rFonts w:hint="eastAsia" w:ascii="宋体" w:hAnsi="宋体" w:cs="Times New Roman"/>
          <w:spacing w:val="-2"/>
          <w:kern w:val="2"/>
          <w:sz w:val="24"/>
          <w:lang w:val="en-US" w:eastAsia="zh-CN"/>
        </w:rPr>
        <w:t>各</w:t>
      </w:r>
      <w:r>
        <w:rPr>
          <w:rFonts w:hint="eastAsia" w:ascii="宋体" w:hAnsi="宋体" w:eastAsia="宋体" w:cs="Times New Roman"/>
          <w:spacing w:val="-2"/>
          <w:kern w:val="2"/>
          <w:sz w:val="24"/>
          <w:lang w:val="en-US" w:eastAsia="zh-CN"/>
        </w:rPr>
        <w:t>层的室内采光情况如下所示：</w:t>
      </w:r>
    </w:p>
    <w:p w14:paraId="2FB271A2">
      <w:pPr>
        <w:tabs>
          <w:tab w:val="left" w:pos="900"/>
        </w:tabs>
        <w:kinsoku w:val="0"/>
        <w:snapToGrid w:val="0"/>
        <w:jc w:val="center"/>
        <w:rPr>
          <w:rFonts w:ascii="微软雅黑" w:hAnsi="微软雅黑" w:eastAsia="微软雅黑" w:cs="Times New Roman"/>
          <w:sz w:val="21"/>
          <w:szCs w:val="21"/>
          <w:lang w:val="en-US" w:eastAsia="zh-CN" w:bidi="ar-SA"/>
        </w:rPr>
      </w:pPr>
      <w:r>
        <w:rPr>
          <w:rFonts w:ascii="微软雅黑" w:hAnsi="微软雅黑" w:eastAsia="微软雅黑" w:cs="Times New Roman"/>
          <w:sz w:val="21"/>
          <w:szCs w:val="21"/>
          <w:lang w:val="en-US" w:eastAsia="zh-CN" w:bidi="ar-SA"/>
        </w:rPr>
        <w:drawing>
          <wp:inline distT="0" distB="0" distL="0" distR="0">
            <wp:extent cx="4535170" cy="4009390"/>
            <wp:effectExtent l="0" t="0" r="825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tretch>
                      <a:fillRect/>
                    </a:stretch>
                  </pic:blipFill>
                  <pic:spPr>
                    <a:xfrm>
                      <a:off x="0" y="0"/>
                      <a:ext cx="4535170" cy="4009390"/>
                    </a:xfrm>
                    <a:prstGeom prst="rect">
                      <a:avLst/>
                    </a:prstGeom>
                  </pic:spPr>
                </pic:pic>
              </a:graphicData>
            </a:graphic>
          </wp:inline>
        </w:drawing>
      </w:r>
    </w:p>
    <w:p w14:paraId="0A89315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微软雅黑" w:hAnsi="微软雅黑" w:eastAsia="微软雅黑" w:cs="Times New Roman"/>
          <w:sz w:val="21"/>
          <w:szCs w:val="21"/>
          <w:lang w:val="en-US" w:eastAsia="zh-CN" w:bidi="ar-SA"/>
        </w:rPr>
      </w:pPr>
      <w:r>
        <w:rPr>
          <w:rFonts w:hint="eastAsia" w:ascii="宋体" w:hAnsi="宋体" w:cs="Times New Roman"/>
          <w:kern w:val="2"/>
          <w:sz w:val="21"/>
          <w:szCs w:val="24"/>
          <w:lang w:val="en-US" w:eastAsia="zh-CN"/>
        </w:rPr>
        <w:t>（a）一层室内采光效果</w:t>
      </w:r>
    </w:p>
    <w:p w14:paraId="100F3D3F">
      <w:pPr>
        <w:tabs>
          <w:tab w:val="left" w:pos="900"/>
        </w:tabs>
        <w:kinsoku w:val="0"/>
        <w:snapToGrid w:val="0"/>
        <w:jc w:val="center"/>
        <w:rPr>
          <w:rFonts w:ascii="微软雅黑" w:hAnsi="微软雅黑" w:eastAsia="微软雅黑" w:cs="Times New Roman"/>
          <w:sz w:val="21"/>
          <w:szCs w:val="21"/>
          <w:lang w:val="en-US" w:eastAsia="zh-CN" w:bidi="ar-SA"/>
        </w:rPr>
      </w:pPr>
      <w:r>
        <w:rPr>
          <w:rFonts w:ascii="微软雅黑" w:hAnsi="微软雅黑" w:eastAsia="微软雅黑" w:cs="Times New Roman"/>
          <w:sz w:val="21"/>
          <w:szCs w:val="21"/>
          <w:lang w:val="en-US" w:eastAsia="zh-CN" w:bidi="ar-SA"/>
        </w:rPr>
        <w:drawing>
          <wp:inline distT="0" distB="0" distL="0" distR="0">
            <wp:extent cx="4361815" cy="3855720"/>
            <wp:effectExtent l="0" t="0" r="635" b="190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0"/>
                    <a:stretch>
                      <a:fillRect/>
                    </a:stretch>
                  </pic:blipFill>
                  <pic:spPr>
                    <a:xfrm>
                      <a:off x="0" y="0"/>
                      <a:ext cx="4361815" cy="3855720"/>
                    </a:xfrm>
                    <a:prstGeom prst="rect">
                      <a:avLst/>
                    </a:prstGeom>
                  </pic:spPr>
                </pic:pic>
              </a:graphicData>
            </a:graphic>
          </wp:inline>
        </w:drawing>
      </w:r>
    </w:p>
    <w:p w14:paraId="21FBD7D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微软雅黑" w:hAnsi="微软雅黑" w:eastAsia="微软雅黑" w:cs="Times New Roman"/>
          <w:sz w:val="21"/>
          <w:szCs w:val="21"/>
          <w:lang w:val="en-US" w:eastAsia="zh-CN" w:bidi="ar-SA"/>
        </w:rPr>
      </w:pPr>
      <w:r>
        <w:rPr>
          <w:rFonts w:hint="eastAsia" w:ascii="宋体" w:hAnsi="宋体" w:eastAsia="宋体" w:cs="Times New Roman"/>
          <w:kern w:val="2"/>
          <w:sz w:val="21"/>
          <w:szCs w:val="24"/>
          <w:lang w:val="en-US" w:eastAsia="zh-CN"/>
        </w:rPr>
        <w:t>（</w:t>
      </w:r>
      <w:r>
        <w:rPr>
          <w:rFonts w:hint="eastAsia" w:ascii="宋体" w:hAnsi="宋体" w:cs="Times New Roman"/>
          <w:kern w:val="2"/>
          <w:sz w:val="21"/>
          <w:szCs w:val="24"/>
          <w:lang w:val="en-US" w:eastAsia="zh-CN"/>
        </w:rPr>
        <w:t>b</w:t>
      </w:r>
      <w:r>
        <w:rPr>
          <w:rFonts w:hint="eastAsia" w:ascii="宋体" w:hAnsi="宋体" w:eastAsia="宋体" w:cs="Times New Roman"/>
          <w:kern w:val="2"/>
          <w:sz w:val="21"/>
          <w:szCs w:val="24"/>
          <w:lang w:val="en-US" w:eastAsia="zh-CN"/>
        </w:rPr>
        <w:t>）</w:t>
      </w:r>
      <w:r>
        <w:rPr>
          <w:rFonts w:hint="eastAsia" w:ascii="宋体" w:hAnsi="宋体" w:cs="Times New Roman"/>
          <w:kern w:val="2"/>
          <w:sz w:val="21"/>
          <w:szCs w:val="24"/>
          <w:lang w:val="en-US" w:eastAsia="zh-CN"/>
        </w:rPr>
        <w:t>二层室内采光效果</w:t>
      </w:r>
    </w:p>
    <w:p w14:paraId="0C84AE29">
      <w:pPr>
        <w:tabs>
          <w:tab w:val="left" w:pos="900"/>
        </w:tabs>
        <w:kinsoku w:val="0"/>
        <w:snapToGrid w:val="0"/>
        <w:jc w:val="center"/>
        <w:rPr>
          <w:rFonts w:ascii="微软雅黑" w:hAnsi="微软雅黑" w:eastAsia="微软雅黑" w:cs="Times New Roman"/>
          <w:sz w:val="21"/>
          <w:szCs w:val="21"/>
          <w:lang w:val="en-US" w:eastAsia="zh-CN" w:bidi="ar-SA"/>
        </w:rPr>
      </w:pPr>
      <w:r>
        <w:rPr>
          <w:rFonts w:ascii="微软雅黑" w:hAnsi="微软雅黑" w:eastAsia="微软雅黑" w:cs="Times New Roman"/>
          <w:sz w:val="21"/>
          <w:szCs w:val="21"/>
          <w:lang w:val="en-US" w:eastAsia="zh-CN" w:bidi="ar-SA"/>
        </w:rPr>
        <w:drawing>
          <wp:inline distT="0" distB="0" distL="0" distR="0">
            <wp:extent cx="4518025" cy="3994150"/>
            <wp:effectExtent l="0" t="0" r="6350" b="635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1"/>
                    <a:stretch>
                      <a:fillRect/>
                    </a:stretch>
                  </pic:blipFill>
                  <pic:spPr>
                    <a:xfrm>
                      <a:off x="0" y="0"/>
                      <a:ext cx="4518025" cy="3994150"/>
                    </a:xfrm>
                    <a:prstGeom prst="rect">
                      <a:avLst/>
                    </a:prstGeom>
                  </pic:spPr>
                </pic:pic>
              </a:graphicData>
            </a:graphic>
          </wp:inline>
        </w:drawing>
      </w:r>
    </w:p>
    <w:p w14:paraId="66ECFE3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Times New Roman"/>
          <w:kern w:val="2"/>
          <w:sz w:val="21"/>
          <w:szCs w:val="24"/>
          <w:lang w:val="en-US" w:eastAsia="zh-CN"/>
        </w:rPr>
      </w:pPr>
      <w:r>
        <w:rPr>
          <w:rFonts w:hint="eastAsia" w:ascii="宋体" w:hAnsi="宋体" w:eastAsia="宋体" w:cs="Times New Roman"/>
          <w:kern w:val="2"/>
          <w:sz w:val="21"/>
          <w:szCs w:val="24"/>
          <w:lang w:val="en-US" w:eastAsia="zh-CN"/>
        </w:rPr>
        <w:t>（</w:t>
      </w:r>
      <w:r>
        <w:rPr>
          <w:rFonts w:hint="eastAsia" w:ascii="宋体" w:hAnsi="宋体" w:cs="Times New Roman"/>
          <w:kern w:val="2"/>
          <w:sz w:val="21"/>
          <w:szCs w:val="24"/>
          <w:lang w:val="en-US" w:eastAsia="zh-CN"/>
        </w:rPr>
        <w:t>c</w:t>
      </w:r>
      <w:r>
        <w:rPr>
          <w:rFonts w:hint="eastAsia" w:ascii="宋体" w:hAnsi="宋体" w:eastAsia="宋体" w:cs="Times New Roman"/>
          <w:kern w:val="2"/>
          <w:sz w:val="21"/>
          <w:szCs w:val="24"/>
          <w:lang w:val="en-US" w:eastAsia="zh-CN"/>
        </w:rPr>
        <w:t>）</w:t>
      </w:r>
      <w:r>
        <w:rPr>
          <w:rFonts w:hint="eastAsia" w:ascii="宋体" w:hAnsi="宋体" w:cs="Times New Roman"/>
          <w:kern w:val="2"/>
          <w:sz w:val="21"/>
          <w:szCs w:val="24"/>
          <w:lang w:val="en-US" w:eastAsia="zh-CN"/>
        </w:rPr>
        <w:t>三层室内采光效果</w:t>
      </w:r>
    </w:p>
    <w:p w14:paraId="7AEE1208">
      <w:pPr>
        <w:tabs>
          <w:tab w:val="left" w:pos="900"/>
        </w:tabs>
        <w:kinsoku w:val="0"/>
        <w:snapToGrid w:val="0"/>
        <w:jc w:val="center"/>
        <w:rPr>
          <w:rFonts w:ascii="微软雅黑" w:hAnsi="微软雅黑" w:eastAsia="微软雅黑" w:cs="Times New Roman"/>
          <w:sz w:val="21"/>
          <w:szCs w:val="21"/>
          <w:lang w:val="en-US" w:eastAsia="zh-CN" w:bidi="ar-SA"/>
        </w:rPr>
      </w:pPr>
      <w:r>
        <w:rPr>
          <w:rFonts w:ascii="微软雅黑" w:hAnsi="微软雅黑" w:eastAsia="微软雅黑" w:cs="Times New Roman"/>
          <w:sz w:val="21"/>
          <w:szCs w:val="21"/>
          <w:lang w:val="en-US" w:eastAsia="zh-CN" w:bidi="ar-SA"/>
        </w:rPr>
        <w:drawing>
          <wp:inline distT="0" distB="0" distL="0" distR="0">
            <wp:extent cx="5667375" cy="50101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2"/>
                    <a:stretch>
                      <a:fillRect/>
                    </a:stretch>
                  </pic:blipFill>
                  <pic:spPr>
                    <a:xfrm>
                      <a:off x="0" y="0"/>
                      <a:ext cx="5667375" cy="5010150"/>
                    </a:xfrm>
                    <a:prstGeom prst="rect">
                      <a:avLst/>
                    </a:prstGeom>
                  </pic:spPr>
                </pic:pic>
              </a:graphicData>
            </a:graphic>
          </wp:inline>
        </w:drawing>
      </w:r>
    </w:p>
    <w:p w14:paraId="538E23B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s="Times New Roman"/>
          <w:kern w:val="2"/>
          <w:sz w:val="21"/>
          <w:szCs w:val="24"/>
          <w:lang w:val="en-US" w:eastAsia="zh-CN"/>
        </w:rPr>
      </w:pPr>
      <w:r>
        <w:rPr>
          <w:rFonts w:hint="eastAsia" w:ascii="宋体" w:hAnsi="宋体" w:eastAsia="宋体" w:cs="Times New Roman"/>
          <w:kern w:val="2"/>
          <w:sz w:val="21"/>
          <w:szCs w:val="24"/>
          <w:lang w:val="en-US" w:eastAsia="zh-CN"/>
        </w:rPr>
        <w:t>（</w:t>
      </w:r>
      <w:r>
        <w:rPr>
          <w:rFonts w:hint="eastAsia" w:ascii="宋体" w:hAnsi="宋体" w:cs="Times New Roman"/>
          <w:kern w:val="2"/>
          <w:sz w:val="21"/>
          <w:szCs w:val="24"/>
          <w:lang w:val="en-US" w:eastAsia="zh-CN"/>
        </w:rPr>
        <w:t>d</w:t>
      </w:r>
      <w:r>
        <w:rPr>
          <w:rFonts w:hint="eastAsia" w:ascii="宋体" w:hAnsi="宋体" w:eastAsia="宋体" w:cs="Times New Roman"/>
          <w:kern w:val="2"/>
          <w:sz w:val="21"/>
          <w:szCs w:val="24"/>
          <w:lang w:val="en-US" w:eastAsia="zh-CN"/>
        </w:rPr>
        <w:t>）</w:t>
      </w:r>
      <w:r>
        <w:rPr>
          <w:rFonts w:hint="eastAsia" w:ascii="宋体" w:hAnsi="宋体" w:cs="Times New Roman"/>
          <w:kern w:val="2"/>
          <w:sz w:val="21"/>
          <w:szCs w:val="24"/>
          <w:lang w:val="en-US" w:eastAsia="zh-CN"/>
        </w:rPr>
        <w:t>四层室内采光效果</w:t>
      </w:r>
    </w:p>
    <w:p w14:paraId="14380DC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kern w:val="2"/>
          <w:sz w:val="21"/>
          <w:szCs w:val="24"/>
          <w:lang w:val="en-US" w:eastAsia="zh-CN"/>
        </w:rPr>
        <w:t>图1-</w:t>
      </w:r>
      <w:r>
        <w:rPr>
          <w:rFonts w:hint="eastAsia" w:ascii="宋体" w:hAnsi="宋体" w:cs="Times New Roman"/>
          <w:kern w:val="2"/>
          <w:sz w:val="21"/>
          <w:szCs w:val="24"/>
          <w:lang w:val="en-US" w:eastAsia="zh-CN"/>
        </w:rPr>
        <w:t>12</w:t>
      </w:r>
      <w:r>
        <w:rPr>
          <w:rFonts w:hint="eastAsia" w:ascii="宋体" w:hAnsi="宋体" w:eastAsia="宋体" w:cs="Times New Roman"/>
          <w:kern w:val="2"/>
          <w:sz w:val="21"/>
          <w:szCs w:val="24"/>
          <w:lang w:val="en-US" w:eastAsia="zh-CN"/>
        </w:rPr>
        <w:t xml:space="preserve">  采光系数分析彩图</w:t>
      </w:r>
    </w:p>
    <w:p w14:paraId="557F44D9">
      <w:pPr>
        <w:widowControl w:val="0"/>
        <w:tabs>
          <w:tab w:val="left" w:pos="3472"/>
          <w:tab w:val="clear" w:pos="377"/>
        </w:tabs>
        <w:spacing w:line="400" w:lineRule="exact"/>
        <w:ind w:firstLine="472" w:firstLineChars="200"/>
        <w:rPr>
          <w:rFonts w:hint="eastAsia" w:ascii="宋体" w:hAnsi="宋体" w:cs="Times New Roman"/>
          <w:spacing w:val="-2"/>
          <w:kern w:val="2"/>
          <w:sz w:val="24"/>
          <w:lang w:val="en-US" w:eastAsia="zh-CN"/>
        </w:rPr>
      </w:pPr>
      <w:r>
        <w:rPr>
          <w:rFonts w:hint="eastAsia" w:ascii="宋体" w:hAnsi="宋体" w:eastAsia="宋体" w:cs="Times New Roman"/>
          <w:spacing w:val="-2"/>
          <w:kern w:val="2"/>
          <w:sz w:val="24"/>
          <w:lang w:val="en-US" w:eastAsia="zh-CN"/>
        </w:rPr>
        <w:t>通过对本建筑的采光模拟和统计分析，根据满足《建筑环境通用规范》GB 55016-2021、《建筑采光设计标准》GB 50033-2013要求的房间/户型情况汇总如下</w:t>
      </w:r>
      <w:r>
        <w:rPr>
          <w:rFonts w:hint="eastAsia" w:ascii="宋体" w:hAnsi="宋体" w:cs="Times New Roman"/>
          <w:spacing w:val="-2"/>
          <w:kern w:val="2"/>
          <w:sz w:val="24"/>
          <w:lang w:val="en-US" w:eastAsia="zh-CN"/>
        </w:rPr>
        <w:t>：</w:t>
      </w:r>
    </w:p>
    <w:p w14:paraId="0242484F">
      <w:pPr>
        <w:widowControl/>
        <w:adjustRightInd w:val="0"/>
        <w:snapToGrid w:val="0"/>
        <w:spacing w:line="420" w:lineRule="atLeast"/>
        <w:jc w:val="center"/>
        <w:rPr>
          <w:rFonts w:hint="eastAsia" w:ascii="宋体" w:hAnsi="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表1-8  </w:t>
      </w:r>
      <w:r>
        <w:rPr>
          <w:rFonts w:hint="eastAsia" w:ascii="楷体_GB2312" w:hAnsi="宋体" w:eastAsia="楷体_GB2312"/>
          <w:b/>
          <w:bCs/>
          <w:color w:val="000000"/>
          <w:lang w:val="en-US" w:eastAsia="zh-CN"/>
        </w:rPr>
        <w:t>采光分析总表</w:t>
      </w:r>
    </w:p>
    <w:tbl>
      <w:tblPr>
        <w:tblStyle w:val="22"/>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27"/>
        <w:gridCol w:w="964"/>
        <w:gridCol w:w="889"/>
        <w:gridCol w:w="1057"/>
        <w:gridCol w:w="2093"/>
        <w:gridCol w:w="2470"/>
      </w:tblGrid>
      <w:tr w14:paraId="225ECE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0" w:hRule="atLeast"/>
        </w:trPr>
        <w:tc>
          <w:tcPr>
            <w:tcW w:w="848" w:type="pct"/>
            <w:tcBorders>
              <w:top w:val="single" w:color="000000" w:sz="4" w:space="0"/>
              <w:left w:val="nil"/>
              <w:bottom w:val="single" w:color="000000" w:sz="4" w:space="0"/>
              <w:right w:val="single" w:color="000000" w:sz="4" w:space="0"/>
              <w:tl2br w:val="nil"/>
            </w:tcBorders>
            <w:shd w:val="clear" w:color="auto" w:fill="FFFFFF"/>
            <w:vAlign w:val="center"/>
          </w:tcPr>
          <w:p w14:paraId="7A47DCD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房间/面积</w:t>
            </w:r>
          </w:p>
        </w:tc>
        <w:tc>
          <w:tcPr>
            <w:tcW w:w="5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3C24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总数</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E20D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满足要求数量</w:t>
            </w:r>
          </w:p>
        </w:tc>
        <w:tc>
          <w:tcPr>
            <w:tcW w:w="5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7F0A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满足要求比例(%)</w:t>
            </w:r>
          </w:p>
        </w:tc>
        <w:tc>
          <w:tcPr>
            <w:tcW w:w="1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B67C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不满足非强条的房间</w:t>
            </w:r>
          </w:p>
        </w:tc>
        <w:tc>
          <w:tcPr>
            <w:tcW w:w="1372" w:type="pct"/>
            <w:tcBorders>
              <w:top w:val="single" w:color="000000" w:sz="4" w:space="0"/>
              <w:left w:val="single" w:color="000000" w:sz="4" w:space="0"/>
              <w:bottom w:val="single" w:color="000000" w:sz="4" w:space="0"/>
              <w:right w:val="nil"/>
            </w:tcBorders>
            <w:shd w:val="clear" w:color="auto" w:fill="FFFFFF"/>
            <w:vAlign w:val="center"/>
          </w:tcPr>
          <w:p w14:paraId="1EFCB9A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不满足强条的房间</w:t>
            </w:r>
          </w:p>
        </w:tc>
      </w:tr>
      <w:tr w14:paraId="36149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4" w:hRule="atLeast"/>
        </w:trPr>
        <w:tc>
          <w:tcPr>
            <w:tcW w:w="848" w:type="pct"/>
            <w:tcBorders>
              <w:top w:val="single" w:color="000000" w:sz="4" w:space="0"/>
              <w:left w:val="nil"/>
              <w:bottom w:val="single" w:color="000000" w:sz="4" w:space="0"/>
              <w:right w:val="single" w:color="000000" w:sz="4" w:space="0"/>
            </w:tcBorders>
            <w:shd w:val="clear" w:color="auto" w:fill="FFFFFF"/>
            <w:vAlign w:val="center"/>
          </w:tcPr>
          <w:p w14:paraId="759D346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房间(个)</w:t>
            </w:r>
          </w:p>
        </w:tc>
        <w:tc>
          <w:tcPr>
            <w:tcW w:w="5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B9A8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4D0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w:t>
            </w:r>
          </w:p>
        </w:tc>
        <w:tc>
          <w:tcPr>
            <w:tcW w:w="5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615F4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0.00</w:t>
            </w:r>
          </w:p>
        </w:tc>
        <w:tc>
          <w:tcPr>
            <w:tcW w:w="1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E0934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1013 2014 3014 4014 </w:t>
            </w:r>
          </w:p>
        </w:tc>
        <w:tc>
          <w:tcPr>
            <w:tcW w:w="1372" w:type="pct"/>
            <w:tcBorders>
              <w:top w:val="single" w:color="000000" w:sz="4" w:space="0"/>
              <w:left w:val="single" w:color="000000" w:sz="4" w:space="0"/>
              <w:bottom w:val="single" w:color="000000" w:sz="4" w:space="0"/>
              <w:right w:val="nil"/>
            </w:tcBorders>
            <w:shd w:val="clear" w:color="auto" w:fill="FFFFFF"/>
            <w:vAlign w:val="center"/>
          </w:tcPr>
          <w:p w14:paraId="52FFD29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不满足的房间超过10个</w:t>
            </w:r>
          </w:p>
        </w:tc>
      </w:tr>
      <w:tr w14:paraId="0173E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848" w:type="pct"/>
            <w:tcBorders>
              <w:top w:val="single" w:color="000000" w:sz="4" w:space="0"/>
              <w:left w:val="nil"/>
              <w:bottom w:val="single" w:color="000000" w:sz="4" w:space="0"/>
              <w:right w:val="single" w:color="000000" w:sz="4" w:space="0"/>
            </w:tcBorders>
            <w:shd w:val="clear" w:color="auto" w:fill="FFFFFF"/>
            <w:vAlign w:val="center"/>
          </w:tcPr>
          <w:p w14:paraId="6B33A51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采光面积(㎡)</w:t>
            </w:r>
          </w:p>
        </w:tc>
        <w:tc>
          <w:tcPr>
            <w:tcW w:w="53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8523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2849.86</w:t>
            </w:r>
          </w:p>
        </w:tc>
        <w:tc>
          <w:tcPr>
            <w:tcW w:w="4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24269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0.00</w:t>
            </w:r>
          </w:p>
        </w:tc>
        <w:tc>
          <w:tcPr>
            <w:tcW w:w="58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B2B5E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0.00</w:t>
            </w:r>
          </w:p>
        </w:tc>
        <w:tc>
          <w:tcPr>
            <w:tcW w:w="116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A07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p>
        </w:tc>
        <w:tc>
          <w:tcPr>
            <w:tcW w:w="1372" w:type="pct"/>
            <w:tcBorders>
              <w:top w:val="single" w:color="000000" w:sz="4" w:space="0"/>
              <w:left w:val="single" w:color="000000" w:sz="4" w:space="0"/>
              <w:bottom w:val="single" w:color="000000" w:sz="4" w:space="0"/>
              <w:right w:val="nil"/>
            </w:tcBorders>
            <w:shd w:val="clear" w:color="auto" w:fill="FFFFFF"/>
            <w:vAlign w:val="center"/>
          </w:tcPr>
          <w:p w14:paraId="458542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p>
        </w:tc>
      </w:tr>
    </w:tbl>
    <w:p w14:paraId="4B351A09">
      <w:pPr>
        <w:widowControl w:val="0"/>
        <w:tabs>
          <w:tab w:val="left" w:pos="3472"/>
          <w:tab w:val="clear" w:pos="377"/>
        </w:tabs>
        <w:spacing w:line="400" w:lineRule="exact"/>
        <w:ind w:firstLine="472" w:firstLineChars="200"/>
        <w:rPr>
          <w:rFonts w:hint="eastAsia" w:ascii="宋体" w:hAnsi="宋体" w:cs="Times New Roman"/>
          <w:spacing w:val="-2"/>
          <w:kern w:val="2"/>
          <w:sz w:val="24"/>
          <w:lang w:val="en-US" w:eastAsia="zh-CN"/>
        </w:rPr>
      </w:pPr>
      <w:r>
        <w:rPr>
          <w:rFonts w:hint="eastAsia" w:ascii="宋体" w:hAnsi="宋体" w:cs="Times New Roman"/>
          <w:spacing w:val="-2"/>
          <w:kern w:val="2"/>
          <w:sz w:val="24"/>
          <w:lang w:val="en-US" w:eastAsia="zh-CN"/>
        </w:rPr>
        <w:t>普通教室侧面采光的采光均匀度不应低于0.5，其中</w:t>
      </w:r>
      <w:bookmarkStart w:id="35" w:name="光均匀度不达标房间数"/>
      <w:r>
        <w:rPr>
          <w:rFonts w:hint="eastAsia" w:ascii="宋体" w:hAnsi="宋体" w:cs="Times New Roman"/>
          <w:spacing w:val="-2"/>
          <w:kern w:val="2"/>
          <w:sz w:val="24"/>
          <w:lang w:val="en-US" w:eastAsia="zh-CN"/>
        </w:rPr>
        <w:t>47</w:t>
      </w:r>
      <w:bookmarkEnd w:id="35"/>
      <w:r>
        <w:rPr>
          <w:rFonts w:hint="eastAsia" w:ascii="宋体" w:hAnsi="宋体" w:cs="Times New Roman"/>
          <w:spacing w:val="-2"/>
          <w:kern w:val="2"/>
          <w:sz w:val="24"/>
          <w:lang w:val="en-US" w:eastAsia="zh-CN"/>
        </w:rPr>
        <w:t>个房间不满足采光均匀度要求。</w:t>
      </w:r>
    </w:p>
    <w:p w14:paraId="0DE87859">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36" w:name="heading_26"/>
      <w:bookmarkStart w:id="37" w:name="_Toc6241"/>
      <w:r>
        <w:rPr>
          <w:rFonts w:hint="eastAsia" w:ascii="宋体" w:hAnsi="宋体" w:cs="Arial"/>
          <w:b/>
          <w:bCs/>
          <w:kern w:val="2"/>
          <w:sz w:val="24"/>
          <w:szCs w:val="21"/>
          <w:lang w:val="en-US" w:eastAsia="zh-CN" w:bidi="ar-SA"/>
        </w:rPr>
        <w:t>采光问题分析</w:t>
      </w:r>
      <w:bookmarkEnd w:id="36"/>
      <w:bookmarkEnd w:id="37"/>
    </w:p>
    <w:p w14:paraId="04ABBCD3">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该建筑采光不达标的成因在于窗户设计与光气候适配性双重不足</w:t>
      </w:r>
      <w:r>
        <w:rPr>
          <w:rFonts w:hint="eastAsia" w:ascii="宋体" w:hAnsi="宋体" w:cs="Times New Roman"/>
          <w:spacing w:val="-2"/>
          <w:kern w:val="2"/>
          <w:sz w:val="24"/>
          <w:lang w:val="en-US" w:eastAsia="zh-CN"/>
        </w:rPr>
        <w:t>，</w:t>
      </w:r>
      <w:r>
        <w:rPr>
          <w:rFonts w:hint="eastAsia" w:ascii="宋体" w:hAnsi="宋体" w:eastAsia="宋体" w:cs="Times New Roman"/>
          <w:spacing w:val="-2"/>
          <w:kern w:val="2"/>
          <w:sz w:val="24"/>
          <w:lang w:val="en-US" w:eastAsia="zh-CN"/>
        </w:rPr>
        <w:t>项目地处光气候IV区（天然光资源较弱，光气候系数K=1.10），但所有外窗采用可见光透射比仅0.62的双银Low-E玻璃（含0.9污染折减后实际透射率约0.56），且普通教室窗墙比偏低（如66㎡教室仅配1.8m×1.5m侧窗，窗地比不足5%），无法满足III级采光标准（3.3%）要求；同时房间进深过大（多数教室进深超8m），导致自然光难以覆盖室内深处，采光均匀度最低仅0.12（远低于0.5的规范限值），最终51个主要功能房间无一达标，普通教室采光系数仅2.12%~2.94%、教师办公室仅0.91%~1.44%，均远低于标准要求。</w:t>
      </w:r>
    </w:p>
    <w:p w14:paraId="09E9A482">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38" w:name="heading_27"/>
      <w:bookmarkStart w:id="39" w:name="_Toc4906"/>
      <w:r>
        <w:rPr>
          <w:rFonts w:hint="eastAsia" w:ascii="宋体" w:hAnsi="宋体" w:eastAsia="宋体" w:cs="Arial"/>
          <w:b/>
          <w:bCs/>
          <w:iCs/>
          <w:color w:val="000000"/>
          <w:kern w:val="2"/>
          <w:sz w:val="28"/>
          <w:szCs w:val="24"/>
          <w:lang w:val="en-US" w:eastAsia="zh-CN" w:bidi="ar-SA"/>
        </w:rPr>
        <w:t>通风分析</w:t>
      </w:r>
      <w:bookmarkEnd w:id="38"/>
      <w:bookmarkEnd w:id="39"/>
    </w:p>
    <w:p w14:paraId="2040B371">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依据室外风环境模拟是绿色建筑设计中不可或缺的技术环节，根据</w:t>
      </w:r>
      <w:r>
        <w:rPr>
          <w:rFonts w:hint="eastAsia" w:ascii="宋体" w:hAnsi="宋体" w:cs="Times New Roman"/>
          <w:spacing w:val="-2"/>
          <w:kern w:val="2"/>
          <w:sz w:val="24"/>
          <w:lang w:val="en-US" w:eastAsia="zh-CN"/>
        </w:rPr>
        <w:t>《绿色建筑评价标准》GB/T 50378-2019（2024年版）</w:t>
      </w:r>
      <w:r>
        <w:rPr>
          <w:rFonts w:hint="eastAsia" w:ascii="宋体" w:hAnsi="宋体" w:eastAsia="宋体" w:cs="Times New Roman"/>
          <w:spacing w:val="-2"/>
          <w:kern w:val="2"/>
          <w:sz w:val="24"/>
          <w:lang w:val="en-US" w:eastAsia="zh-CN"/>
        </w:rPr>
        <w:t>第1.0.4条及第8.1.2条，绿色建筑必须对场地风环境进行计算与评估，确保建筑布局与气候条件相适应。室外通风模拟是项目通过绿色建筑审查的前置条件。</w:t>
      </w:r>
    </w:p>
    <w:p w14:paraId="6A366B59">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基于以下几个工况进行计算：</w:t>
      </w:r>
    </w:p>
    <w:p w14:paraId="19FD0867">
      <w:pPr>
        <w:widowControl/>
        <w:adjustRightInd w:val="0"/>
        <w:snapToGrid w:val="0"/>
        <w:spacing w:line="420" w:lineRule="atLeast"/>
        <w:jc w:val="center"/>
        <w:rPr>
          <w:rFonts w:hint="eastAsia" w:ascii="宋体" w:hAnsi="宋体" w:cs="Arial"/>
          <w:b/>
          <w:bCs/>
          <w:kern w:val="2"/>
          <w:sz w:val="24"/>
          <w:szCs w:val="21"/>
          <w:lang w:val="en-US" w:eastAsia="zh-CN" w:bidi="ar-SA"/>
        </w:rPr>
      </w:pPr>
      <w:r>
        <w:rPr>
          <w:rFonts w:hint="eastAsia" w:ascii="楷体_GB2312" w:hAnsi="宋体" w:eastAsia="楷体_GB2312" w:cs="Courier New"/>
          <w:b/>
          <w:bCs/>
          <w:color w:val="000000"/>
          <w:kern w:val="0"/>
          <w:sz w:val="24"/>
          <w:szCs w:val="24"/>
          <w:lang w:val="en-US" w:eastAsia="zh-CN" w:bidi="ar-SA"/>
        </w:rPr>
        <w:t>表1-9  通风工况设置</w:t>
      </w:r>
      <w:bookmarkStart w:id="40" w:name="_Toc28851"/>
      <w:bookmarkStart w:id="41" w:name="heading_29"/>
    </w:p>
    <w:tbl>
      <w:tblPr>
        <w:tblStyle w:val="22"/>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795"/>
        <w:gridCol w:w="1786"/>
        <w:gridCol w:w="1845"/>
        <w:gridCol w:w="1789"/>
        <w:gridCol w:w="1790"/>
      </w:tblGrid>
      <w:tr w14:paraId="75407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4" w:hRule="atLeast"/>
        </w:trPr>
        <w:tc>
          <w:tcPr>
            <w:tcW w:w="996" w:type="pct"/>
            <w:tcBorders>
              <w:top w:val="single" w:color="000000" w:sz="4" w:space="0"/>
              <w:left w:val="nil"/>
              <w:bottom w:val="single" w:color="000000" w:sz="4" w:space="0"/>
              <w:right w:val="single" w:color="000000" w:sz="4" w:space="0"/>
              <w:tl2br w:val="nil"/>
            </w:tcBorders>
            <w:shd w:val="clear" w:color="auto" w:fill="FFFFFF"/>
            <w:vAlign w:val="center"/>
          </w:tcPr>
          <w:p w14:paraId="2648D9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bookmarkStart w:id="42" w:name="计算工况表"/>
            <w:r>
              <w:rPr>
                <w:rFonts w:hint="eastAsia" w:ascii="宋体" w:hAnsi="宋体" w:eastAsia="宋体" w:cs="Courier New"/>
                <w:b w:val="0"/>
                <w:color w:val="000000"/>
                <w:kern w:val="0"/>
                <w:sz w:val="21"/>
                <w:szCs w:val="24"/>
                <w:lang w:val="en-US" w:eastAsia="zh-CN" w:bidi="ar-SA"/>
              </w:rPr>
              <w:t>序号</w:t>
            </w:r>
          </w:p>
        </w:tc>
        <w:tc>
          <w:tcPr>
            <w:tcW w:w="9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F1B3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季节</w:t>
            </w:r>
          </w:p>
        </w:tc>
        <w:tc>
          <w:tcPr>
            <w:tcW w:w="10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09C0C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风速(m/s)</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6CE75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风向</w:t>
            </w:r>
          </w:p>
        </w:tc>
        <w:tc>
          <w:tcPr>
            <w:tcW w:w="993" w:type="pct"/>
            <w:tcBorders>
              <w:top w:val="single" w:color="000000" w:sz="4" w:space="0"/>
              <w:left w:val="single" w:color="000000" w:sz="4" w:space="0"/>
              <w:bottom w:val="single" w:color="000000" w:sz="4" w:space="0"/>
              <w:right w:val="nil"/>
            </w:tcBorders>
            <w:shd w:val="clear" w:color="auto" w:fill="FFFFFF"/>
            <w:vAlign w:val="center"/>
          </w:tcPr>
          <w:p w14:paraId="6CEFFFA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风向（°）</w:t>
            </w:r>
          </w:p>
        </w:tc>
      </w:tr>
      <w:tr w14:paraId="6E136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43" w:hRule="atLeast"/>
        </w:trPr>
        <w:tc>
          <w:tcPr>
            <w:tcW w:w="996" w:type="pct"/>
            <w:tcBorders>
              <w:top w:val="single" w:color="000000" w:sz="4" w:space="0"/>
              <w:left w:val="nil"/>
              <w:bottom w:val="single" w:color="000000" w:sz="4" w:space="0"/>
              <w:right w:val="single" w:color="000000" w:sz="4" w:space="0"/>
            </w:tcBorders>
            <w:shd w:val="clear" w:color="auto" w:fill="FFFFFF"/>
            <w:vAlign w:val="center"/>
          </w:tcPr>
          <w:p w14:paraId="276D4D7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w:t>
            </w:r>
          </w:p>
        </w:tc>
        <w:tc>
          <w:tcPr>
            <w:tcW w:w="9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797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冬季</w:t>
            </w:r>
          </w:p>
        </w:tc>
        <w:tc>
          <w:tcPr>
            <w:tcW w:w="10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C7671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D545F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NE</w:t>
            </w:r>
          </w:p>
        </w:tc>
        <w:tc>
          <w:tcPr>
            <w:tcW w:w="993" w:type="pct"/>
            <w:tcBorders>
              <w:top w:val="single" w:color="000000" w:sz="4" w:space="0"/>
              <w:left w:val="single" w:color="000000" w:sz="4" w:space="0"/>
              <w:bottom w:val="single" w:color="000000" w:sz="4" w:space="0"/>
              <w:right w:val="nil"/>
            </w:tcBorders>
            <w:shd w:val="clear" w:color="auto" w:fill="FFFFFF"/>
            <w:vAlign w:val="center"/>
          </w:tcPr>
          <w:p w14:paraId="3563486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45.0</w:t>
            </w:r>
          </w:p>
        </w:tc>
      </w:tr>
      <w:tr w14:paraId="70FB7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34" w:hRule="atLeast"/>
        </w:trPr>
        <w:tc>
          <w:tcPr>
            <w:tcW w:w="996" w:type="pct"/>
            <w:tcBorders>
              <w:top w:val="single" w:color="000000" w:sz="4" w:space="0"/>
              <w:left w:val="nil"/>
              <w:bottom w:val="single" w:color="000000" w:sz="4" w:space="0"/>
              <w:right w:val="single" w:color="000000" w:sz="4" w:space="0"/>
            </w:tcBorders>
            <w:shd w:val="clear" w:color="auto" w:fill="FFFFFF"/>
            <w:vAlign w:val="center"/>
          </w:tcPr>
          <w:p w14:paraId="23C7A98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w:t>
            </w:r>
          </w:p>
        </w:tc>
        <w:tc>
          <w:tcPr>
            <w:tcW w:w="99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A6EC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夏季</w:t>
            </w:r>
          </w:p>
        </w:tc>
        <w:tc>
          <w:tcPr>
            <w:tcW w:w="102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6DAA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w:t>
            </w:r>
          </w:p>
        </w:tc>
        <w:tc>
          <w:tcPr>
            <w:tcW w:w="99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760A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SW</w:t>
            </w:r>
          </w:p>
        </w:tc>
        <w:tc>
          <w:tcPr>
            <w:tcW w:w="993" w:type="pct"/>
            <w:tcBorders>
              <w:top w:val="single" w:color="000000" w:sz="4" w:space="0"/>
              <w:left w:val="single" w:color="000000" w:sz="4" w:space="0"/>
              <w:bottom w:val="single" w:color="000000" w:sz="4" w:space="0"/>
              <w:right w:val="nil"/>
            </w:tcBorders>
            <w:shd w:val="clear" w:color="auto" w:fill="FFFFFF"/>
            <w:vAlign w:val="center"/>
          </w:tcPr>
          <w:p w14:paraId="231CB3D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225.0</w:t>
            </w:r>
          </w:p>
        </w:tc>
      </w:tr>
      <w:bookmarkEnd w:id="42"/>
    </w:tbl>
    <w:p w14:paraId="1EA7BE98">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r>
        <w:rPr>
          <w:rFonts w:hint="eastAsia" w:ascii="宋体" w:hAnsi="宋体" w:cs="Arial"/>
          <w:b/>
          <w:bCs/>
          <w:kern w:val="2"/>
          <w:sz w:val="24"/>
          <w:szCs w:val="21"/>
          <w:lang w:val="en-US" w:eastAsia="zh-CN" w:bidi="ar-SA"/>
        </w:rPr>
        <w:t>冬季工况分析</w:t>
      </w:r>
      <w:bookmarkEnd w:id="40"/>
      <w:bookmarkEnd w:id="41"/>
    </w:p>
    <w:p w14:paraId="6B737BDE">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图1-</w:t>
      </w:r>
      <w:r>
        <w:rPr>
          <w:rFonts w:hint="eastAsia" w:ascii="宋体" w:hAnsi="宋体" w:cs="Times New Roman"/>
          <w:spacing w:val="-2"/>
          <w:kern w:val="2"/>
          <w:sz w:val="24"/>
          <w:lang w:val="en-US" w:eastAsia="zh-CN"/>
        </w:rPr>
        <w:t>13</w:t>
      </w:r>
      <w:r>
        <w:rPr>
          <w:rFonts w:hint="eastAsia" w:ascii="宋体" w:hAnsi="宋体" w:eastAsia="宋体" w:cs="Times New Roman"/>
          <w:spacing w:val="-2"/>
          <w:kern w:val="2"/>
          <w:sz w:val="24"/>
          <w:lang w:val="en-US" w:eastAsia="zh-CN"/>
        </w:rPr>
        <w:t>为整个计算域内风速分布云图，参考图中速度分布可以对项目中建筑布局进行优化。计算域内建筑周围如果有风速超限区域，图中会用速度上限值为5m/s的黑色等值线标示。</w:t>
      </w:r>
    </w:p>
    <w:p w14:paraId="59F02FBA">
      <w:pPr>
        <w:widowControl w:val="0"/>
        <w:tabs>
          <w:tab w:val="left" w:pos="3472"/>
          <w:tab w:val="clear" w:pos="377"/>
        </w:tabs>
        <w:spacing w:line="400" w:lineRule="exact"/>
        <w:ind w:firstLine="472" w:firstLineChars="200"/>
        <w:rPr>
          <w:rFonts w:ascii="Times New Roman" w:hAnsi="Times New Roman" w:eastAsia="宋体" w:cs="Times New Roman"/>
          <w:sz w:val="21"/>
          <w:szCs w:val="21"/>
          <w:lang w:val="en-GB" w:eastAsia="zh-CN" w:bidi="ar-SA"/>
        </w:rPr>
      </w:pPr>
      <w:r>
        <w:rPr>
          <w:rFonts w:hint="eastAsia" w:ascii="宋体" w:hAnsi="宋体" w:eastAsia="宋体" w:cs="Times New Roman"/>
          <w:spacing w:val="-2"/>
          <w:kern w:val="2"/>
          <w:sz w:val="24"/>
          <w:lang w:val="en-US" w:eastAsia="zh-CN"/>
        </w:rPr>
        <w:t>分析图1-</w:t>
      </w:r>
      <w:r>
        <w:rPr>
          <w:rFonts w:hint="eastAsia" w:ascii="宋体" w:hAnsi="宋体" w:cs="Times New Roman"/>
          <w:spacing w:val="-2"/>
          <w:kern w:val="2"/>
          <w:sz w:val="24"/>
          <w:lang w:val="en-US" w:eastAsia="zh-CN"/>
        </w:rPr>
        <w:t>13</w:t>
      </w:r>
      <w:r>
        <w:rPr>
          <w:rFonts w:hint="eastAsia" w:ascii="宋体" w:hAnsi="宋体" w:eastAsia="宋体" w:cs="Times New Roman"/>
          <w:spacing w:val="-2"/>
          <w:kern w:val="2"/>
          <w:sz w:val="24"/>
          <w:lang w:val="en-US" w:eastAsia="zh-CN"/>
        </w:rPr>
        <w:t>数据，未标示出超标区域，可知人行区域1.5m高度最大风速</w:t>
      </w:r>
      <w:r>
        <w:rPr>
          <w:rFonts w:hint="eastAsia" w:ascii="宋体" w:hAnsi="宋体" w:cs="Times New Roman"/>
          <w:spacing w:val="-2"/>
          <w:kern w:val="2"/>
          <w:sz w:val="24"/>
          <w:lang w:val="en-US" w:eastAsia="zh-CN"/>
        </w:rPr>
        <w:t>2.04</w:t>
      </w:r>
      <w:r>
        <w:rPr>
          <w:rFonts w:hint="eastAsia" w:ascii="宋体" w:hAnsi="宋体" w:eastAsia="宋体" w:cs="Times New Roman"/>
          <w:spacing w:val="-2"/>
          <w:kern w:val="2"/>
          <w:sz w:val="24"/>
          <w:lang w:val="en-US" w:eastAsia="zh-CN"/>
        </w:rPr>
        <w:t>m/s，远小于5m/s限值</w:t>
      </w:r>
      <w:r>
        <w:rPr>
          <w:rFonts w:hint="eastAsia" w:ascii="宋体" w:hAnsi="宋体" w:cs="Times New Roman"/>
          <w:spacing w:val="-2"/>
          <w:kern w:val="2"/>
          <w:sz w:val="24"/>
          <w:lang w:val="en-US" w:eastAsia="zh-CN"/>
        </w:rPr>
        <w:t>；户外休息区、儿童娱乐区风速最大值为1.85m/s，小于2m/s，</w:t>
      </w:r>
      <w:r>
        <w:rPr>
          <w:rFonts w:hint="eastAsia" w:ascii="宋体" w:hAnsi="宋体" w:eastAsia="宋体" w:cs="Times New Roman"/>
          <w:spacing w:val="-2"/>
          <w:kern w:val="2"/>
          <w:sz w:val="24"/>
          <w:lang w:val="en-US" w:eastAsia="zh-CN"/>
        </w:rPr>
        <w:t>满足绿标要求。</w:t>
      </w:r>
    </w:p>
    <w:p w14:paraId="493B3EB8">
      <w:pPr>
        <w:keepNext w:val="0"/>
        <w:keepLines w:val="0"/>
        <w:pageBreakBefore w:val="0"/>
        <w:widowControl/>
        <w:kinsoku w:val="0"/>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sz w:val="21"/>
          <w:szCs w:val="21"/>
          <w:lang w:val="en-GB" w:eastAsia="zh-CN" w:bidi="ar-SA"/>
        </w:rPr>
      </w:pPr>
      <w:r>
        <w:rPr>
          <w:rFonts w:ascii="Times New Roman" w:hAnsi="Times New Roman" w:eastAsia="宋体" w:cs="Times New Roman"/>
          <w:sz w:val="21"/>
          <w:szCs w:val="21"/>
          <w:lang w:val="en-GB" w:eastAsia="zh-CN" w:bidi="ar-SA"/>
        </w:rPr>
        <w:drawing>
          <wp:inline distT="0" distB="0" distL="0" distR="0">
            <wp:extent cx="4493260" cy="35528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43"/>
                    <a:srcRect r="20717"/>
                    <a:stretch>
                      <a:fillRect/>
                    </a:stretch>
                  </pic:blipFill>
                  <pic:spPr>
                    <a:xfrm>
                      <a:off x="0" y="0"/>
                      <a:ext cx="4493260" cy="3552825"/>
                    </a:xfrm>
                    <a:prstGeom prst="rect">
                      <a:avLst/>
                    </a:prstGeom>
                  </pic:spPr>
                </pic:pic>
              </a:graphicData>
            </a:graphic>
          </wp:inline>
        </w:drawing>
      </w:r>
    </w:p>
    <w:p w14:paraId="108943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sz w:val="21"/>
          <w:szCs w:val="21"/>
          <w:lang w:val="en-GB" w:eastAsia="zh-CN" w:bidi="ar-SA"/>
        </w:rPr>
      </w:pPr>
      <w:r>
        <w:rPr>
          <w:rFonts w:hint="eastAsia" w:ascii="宋体" w:hAnsi="宋体" w:cs="Times New Roman"/>
          <w:kern w:val="2"/>
          <w:sz w:val="21"/>
          <w:szCs w:val="24"/>
          <w:lang w:val="en-US" w:eastAsia="zh-CN"/>
        </w:rPr>
        <w:t>（a）</w:t>
      </w:r>
      <w:r>
        <w:rPr>
          <w:rFonts w:hint="eastAsia" w:ascii="宋体" w:hAnsi="宋体" w:eastAsia="宋体" w:cs="Times New Roman"/>
          <w:kern w:val="2"/>
          <w:sz w:val="21"/>
          <w:szCs w:val="24"/>
          <w:lang w:val="en-US" w:eastAsia="zh-CN"/>
        </w:rPr>
        <w:t>人行区域</w:t>
      </w:r>
    </w:p>
    <w:p w14:paraId="142A93B6">
      <w:pPr>
        <w:keepNext w:val="0"/>
        <w:keepLines w:val="0"/>
        <w:pageBreakBefore w:val="0"/>
        <w:widowControl/>
        <w:kinsoku w:val="0"/>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sz w:val="21"/>
          <w:szCs w:val="21"/>
          <w:lang w:val="en-GB" w:eastAsia="zh-CN" w:bidi="ar-SA"/>
        </w:rPr>
      </w:pPr>
      <w:r>
        <w:rPr>
          <w:rFonts w:ascii="Times New Roman" w:hAnsi="Times New Roman" w:eastAsia="宋体" w:cs="Times New Roman"/>
          <w:sz w:val="21"/>
          <w:szCs w:val="21"/>
          <w:lang w:val="en-GB" w:eastAsia="zh-CN" w:bidi="ar-SA"/>
        </w:rPr>
        <w:drawing>
          <wp:inline distT="0" distB="0" distL="0" distR="0">
            <wp:extent cx="4356735" cy="35528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4"/>
                    <a:srcRect r="23126"/>
                    <a:stretch>
                      <a:fillRect/>
                    </a:stretch>
                  </pic:blipFill>
                  <pic:spPr>
                    <a:xfrm>
                      <a:off x="0" y="0"/>
                      <a:ext cx="4356735" cy="3552825"/>
                    </a:xfrm>
                    <a:prstGeom prst="rect">
                      <a:avLst/>
                    </a:prstGeom>
                  </pic:spPr>
                </pic:pic>
              </a:graphicData>
            </a:graphic>
          </wp:inline>
        </w:drawing>
      </w:r>
    </w:p>
    <w:p w14:paraId="0758A75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hAnsi="Times New Roman" w:eastAsia="宋体" w:cs="Times New Roman"/>
          <w:sz w:val="21"/>
          <w:szCs w:val="21"/>
          <w:lang w:val="en-GB" w:eastAsia="zh-CN" w:bidi="ar-SA"/>
        </w:rPr>
      </w:pPr>
      <w:r>
        <w:rPr>
          <w:rFonts w:hint="eastAsia" w:ascii="宋体" w:hAnsi="宋体" w:cs="Times New Roman"/>
          <w:kern w:val="2"/>
          <w:sz w:val="21"/>
          <w:szCs w:val="24"/>
          <w:lang w:val="en-US" w:eastAsia="zh-CN"/>
        </w:rPr>
        <w:t>（b）</w:t>
      </w:r>
      <w:r>
        <w:rPr>
          <w:rFonts w:hint="eastAsia" w:ascii="宋体" w:hAnsi="宋体" w:eastAsia="宋体" w:cs="Times New Roman"/>
          <w:kern w:val="2"/>
          <w:sz w:val="21"/>
          <w:szCs w:val="24"/>
          <w:lang w:val="en-US" w:eastAsia="zh-CN"/>
        </w:rPr>
        <w:t>户外休息区、儿童娱乐区</w:t>
      </w:r>
    </w:p>
    <w:p w14:paraId="29018EF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kern w:val="2"/>
          <w:sz w:val="21"/>
          <w:szCs w:val="24"/>
          <w:lang w:val="en-US" w:eastAsia="zh-CN"/>
        </w:rPr>
        <w:t>图1-</w:t>
      </w:r>
      <w:r>
        <w:rPr>
          <w:rFonts w:hint="eastAsia" w:ascii="宋体" w:hAnsi="宋体" w:cs="Times New Roman"/>
          <w:kern w:val="2"/>
          <w:sz w:val="21"/>
          <w:szCs w:val="24"/>
          <w:lang w:val="en-US" w:eastAsia="zh-CN"/>
        </w:rPr>
        <w:t>13</w:t>
      </w:r>
      <w:r>
        <w:rPr>
          <w:rFonts w:hint="eastAsia" w:ascii="宋体" w:hAnsi="宋体" w:eastAsia="宋体" w:cs="Times New Roman"/>
          <w:kern w:val="2"/>
          <w:sz w:val="21"/>
          <w:szCs w:val="24"/>
          <w:lang w:val="en-US" w:eastAsia="zh-CN"/>
        </w:rPr>
        <w:t xml:space="preserve">  1.5米高度水平面风速云图-冬季</w:t>
      </w:r>
    </w:p>
    <w:p w14:paraId="65DC8FAB">
      <w:pPr>
        <w:widowControl w:val="0"/>
        <w:tabs>
          <w:tab w:val="left" w:pos="3472"/>
          <w:tab w:val="clear" w:pos="377"/>
        </w:tabs>
        <w:spacing w:line="400" w:lineRule="exact"/>
        <w:ind w:firstLine="472" w:firstLineChars="200"/>
        <w:rPr>
          <w:rFonts w:hint="default" w:ascii="微软雅黑" w:hAnsi="微软雅黑" w:eastAsia="微软雅黑" w:cs="Times New Roman"/>
          <w:sz w:val="18"/>
          <w:szCs w:val="18"/>
          <w:lang w:val="en-US" w:eastAsia="zh-CN" w:bidi="ar-SA"/>
        </w:rPr>
      </w:pPr>
      <w:r>
        <w:rPr>
          <w:rFonts w:hint="eastAsia" w:ascii="宋体" w:hAnsi="宋体" w:eastAsia="宋体" w:cs="Times New Roman"/>
          <w:spacing w:val="-2"/>
          <w:kern w:val="2"/>
          <w:sz w:val="24"/>
          <w:lang w:val="en-GB" w:eastAsia="zh-CN"/>
        </w:rPr>
        <w:t>图1-</w:t>
      </w:r>
      <w:r>
        <w:rPr>
          <w:rFonts w:hint="eastAsia" w:ascii="宋体" w:hAnsi="宋体" w:cs="Times New Roman"/>
          <w:spacing w:val="-2"/>
          <w:kern w:val="2"/>
          <w:sz w:val="24"/>
          <w:lang w:val="en-US" w:eastAsia="zh-CN"/>
        </w:rPr>
        <w:t>14</w:t>
      </w:r>
      <w:r>
        <w:rPr>
          <w:rFonts w:hint="eastAsia" w:ascii="宋体" w:hAnsi="宋体" w:eastAsia="宋体" w:cs="Times New Roman"/>
          <w:spacing w:val="-2"/>
          <w:kern w:val="2"/>
          <w:sz w:val="24"/>
          <w:lang w:val="en-GB" w:eastAsia="zh-CN"/>
        </w:rPr>
        <w:t>为整个计算域内风速放大系数分布云图，该图中速度分布以及前述风速分布可以对项目中整体建筑布局进行优化。同样，计算域内建筑周围如果有风速放大系数超限区域，图中会用上限值为2的黑色等值线标示。分析下列云图数据，图中未标示出风速放大系数超标区域，因此可知人行区域风速放大系数最大值为</w:t>
      </w:r>
      <w:r>
        <w:rPr>
          <w:rFonts w:hint="eastAsia" w:ascii="宋体" w:hAnsi="宋体" w:cs="Times New Roman"/>
          <w:spacing w:val="-2"/>
          <w:kern w:val="2"/>
          <w:sz w:val="24"/>
          <w:lang w:val="en-US" w:eastAsia="zh-CN"/>
        </w:rPr>
        <w:t>0.94</w:t>
      </w:r>
      <w:r>
        <w:rPr>
          <w:rFonts w:hint="eastAsia" w:ascii="宋体" w:hAnsi="宋体" w:eastAsia="宋体" w:cs="Times New Roman"/>
          <w:spacing w:val="-2"/>
          <w:kern w:val="2"/>
          <w:sz w:val="24"/>
          <w:lang w:val="en-GB" w:eastAsia="zh-CN"/>
        </w:rPr>
        <w:t>，小于2</w:t>
      </w:r>
      <w:r>
        <w:rPr>
          <w:rFonts w:hint="eastAsia" w:ascii="宋体" w:hAnsi="宋体" w:cs="Times New Roman"/>
          <w:spacing w:val="-2"/>
          <w:kern w:val="2"/>
          <w:sz w:val="24"/>
          <w:lang w:val="en-GB" w:eastAsia="zh-CN"/>
        </w:rPr>
        <w:t>；户外休息区、儿童娱乐区风速放大系数最大值为1.2</w:t>
      </w:r>
      <w:r>
        <w:rPr>
          <w:rFonts w:hint="eastAsia" w:ascii="宋体" w:hAnsi="宋体" w:cs="Times New Roman"/>
          <w:spacing w:val="-2"/>
          <w:kern w:val="2"/>
          <w:sz w:val="24"/>
          <w:lang w:val="en-US" w:eastAsia="zh-CN"/>
        </w:rPr>
        <w:t>1</w:t>
      </w:r>
      <w:r>
        <w:rPr>
          <w:rFonts w:hint="eastAsia" w:ascii="宋体" w:hAnsi="宋体" w:cs="Times New Roman"/>
          <w:spacing w:val="-2"/>
          <w:kern w:val="2"/>
          <w:sz w:val="24"/>
          <w:lang w:val="en-GB" w:eastAsia="zh-CN"/>
        </w:rPr>
        <w:t>，没有风速放大系数超限区域，</w:t>
      </w:r>
      <w:r>
        <w:rPr>
          <w:rFonts w:hint="eastAsia" w:ascii="宋体" w:hAnsi="宋体" w:eastAsia="宋体" w:cs="Times New Roman"/>
          <w:spacing w:val="-2"/>
          <w:kern w:val="2"/>
          <w:sz w:val="24"/>
          <w:lang w:val="en-GB" w:eastAsia="zh-CN"/>
        </w:rPr>
        <w:t>满足绿标要求。</w:t>
      </w:r>
    </w:p>
    <w:p w14:paraId="1000F064">
      <w:pPr>
        <w:kinsoku w:val="0"/>
        <w:spacing w:line="400" w:lineRule="atLeast"/>
        <w:ind w:firstLine="0" w:firstLineChars="0"/>
        <w:jc w:val="center"/>
        <w:rPr>
          <w:rFonts w:hint="eastAsia" w:ascii="微软雅黑" w:hAnsi="微软雅黑" w:eastAsia="微软雅黑" w:cs="Times New Roman"/>
          <w:sz w:val="18"/>
          <w:szCs w:val="18"/>
          <w:lang w:val="en-US" w:eastAsia="zh-CN" w:bidi="ar-SA"/>
        </w:rPr>
      </w:pPr>
      <w:r>
        <w:rPr>
          <w:rFonts w:hint="eastAsia" w:ascii="微软雅黑" w:hAnsi="微软雅黑" w:eastAsia="微软雅黑" w:cs="Times New Roman"/>
          <w:sz w:val="18"/>
          <w:szCs w:val="18"/>
          <w:lang w:val="en-US" w:eastAsia="zh-CN" w:bidi="ar-SA"/>
        </w:rPr>
        <w:drawing>
          <wp:inline distT="0" distB="0" distL="0" distR="0">
            <wp:extent cx="4114800" cy="35528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5"/>
                    <a:srcRect r="27395"/>
                    <a:stretch>
                      <a:fillRect/>
                    </a:stretch>
                  </pic:blipFill>
                  <pic:spPr>
                    <a:xfrm>
                      <a:off x="0" y="0"/>
                      <a:ext cx="4114800" cy="3552825"/>
                    </a:xfrm>
                    <a:prstGeom prst="rect">
                      <a:avLst/>
                    </a:prstGeom>
                  </pic:spPr>
                </pic:pic>
              </a:graphicData>
            </a:graphic>
          </wp:inline>
        </w:drawing>
      </w:r>
    </w:p>
    <w:p w14:paraId="0509869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Times New Roman"/>
          <w:sz w:val="18"/>
          <w:szCs w:val="18"/>
          <w:lang w:val="en-US" w:eastAsia="zh-CN" w:bidi="ar-SA"/>
        </w:rPr>
      </w:pPr>
      <w:r>
        <w:rPr>
          <w:rFonts w:hint="eastAsia" w:ascii="宋体" w:hAnsi="宋体" w:cs="Times New Roman"/>
          <w:kern w:val="2"/>
          <w:sz w:val="21"/>
          <w:szCs w:val="24"/>
          <w:lang w:val="en-US" w:eastAsia="zh-CN"/>
        </w:rPr>
        <w:t>（a）</w:t>
      </w:r>
      <w:r>
        <w:rPr>
          <w:rFonts w:hint="eastAsia" w:ascii="宋体" w:hAnsi="宋体" w:eastAsia="宋体" w:cs="Times New Roman"/>
          <w:kern w:val="2"/>
          <w:sz w:val="21"/>
          <w:szCs w:val="24"/>
          <w:lang w:val="en-US" w:eastAsia="zh-CN"/>
        </w:rPr>
        <w:t>人行区域</w:t>
      </w:r>
    </w:p>
    <w:p w14:paraId="7F49E55A">
      <w:pPr>
        <w:kinsoku w:val="0"/>
        <w:spacing w:line="400" w:lineRule="atLeast"/>
        <w:ind w:firstLine="0" w:firstLineChars="0"/>
        <w:jc w:val="center"/>
        <w:rPr>
          <w:rFonts w:hint="eastAsia" w:ascii="微软雅黑" w:hAnsi="微软雅黑" w:eastAsia="微软雅黑" w:cs="Times New Roman"/>
          <w:sz w:val="18"/>
          <w:szCs w:val="18"/>
          <w:lang w:val="en-US" w:eastAsia="zh-CN" w:bidi="ar-SA"/>
        </w:rPr>
      </w:pPr>
      <w:r>
        <w:rPr>
          <w:rFonts w:hint="eastAsia" w:ascii="微软雅黑" w:hAnsi="微软雅黑" w:eastAsia="微软雅黑" w:cs="Times New Roman"/>
          <w:sz w:val="18"/>
          <w:szCs w:val="18"/>
          <w:lang w:val="en-US" w:eastAsia="zh-CN" w:bidi="ar-SA"/>
        </w:rPr>
        <w:drawing>
          <wp:inline distT="0" distB="0" distL="0" distR="0">
            <wp:extent cx="4359275" cy="35528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6"/>
                    <a:srcRect r="23081"/>
                    <a:stretch>
                      <a:fillRect/>
                    </a:stretch>
                  </pic:blipFill>
                  <pic:spPr>
                    <a:xfrm>
                      <a:off x="0" y="0"/>
                      <a:ext cx="4359275" cy="3552825"/>
                    </a:xfrm>
                    <a:prstGeom prst="rect">
                      <a:avLst/>
                    </a:prstGeom>
                  </pic:spPr>
                </pic:pic>
              </a:graphicData>
            </a:graphic>
          </wp:inline>
        </w:drawing>
      </w:r>
    </w:p>
    <w:p w14:paraId="608AC3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Times New Roman"/>
          <w:sz w:val="18"/>
          <w:szCs w:val="18"/>
          <w:lang w:val="en-US" w:eastAsia="zh-CN" w:bidi="ar-SA"/>
        </w:rPr>
      </w:pPr>
      <w:r>
        <w:rPr>
          <w:rFonts w:hint="eastAsia" w:ascii="宋体" w:hAnsi="宋体" w:cs="Times New Roman"/>
          <w:kern w:val="2"/>
          <w:sz w:val="21"/>
          <w:szCs w:val="24"/>
          <w:lang w:val="en-US" w:eastAsia="zh-CN"/>
        </w:rPr>
        <w:t>（b）</w:t>
      </w:r>
      <w:r>
        <w:rPr>
          <w:rFonts w:hint="eastAsia" w:ascii="宋体" w:hAnsi="宋体" w:eastAsia="宋体" w:cs="Times New Roman"/>
          <w:kern w:val="2"/>
          <w:sz w:val="21"/>
          <w:szCs w:val="24"/>
          <w:lang w:val="en-US" w:eastAsia="zh-CN"/>
        </w:rPr>
        <w:t>户外休息区、儿童娱乐区</w:t>
      </w:r>
    </w:p>
    <w:p w14:paraId="616DE045">
      <w:pPr>
        <w:kinsoku w:val="0"/>
        <w:spacing w:line="400" w:lineRule="atLeast"/>
        <w:ind w:firstLine="0" w:firstLineChars="0"/>
        <w:jc w:val="center"/>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图1-14  人行区域-1.5米高度水平面风速放大系数云图-冬季</w:t>
      </w:r>
    </w:p>
    <w:p w14:paraId="609D176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综合上述冬季工况风场中风速和风速放大系数的计算分析，将分析结果汇总如下表：</w:t>
      </w:r>
    </w:p>
    <w:p w14:paraId="4F4DB639">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表1-10  </w:t>
      </w:r>
      <w:r>
        <w:rPr>
          <w:rFonts w:hint="eastAsia" w:ascii="楷体_GB2312" w:hAnsi="宋体" w:eastAsia="楷体_GB2312"/>
          <w:b/>
          <w:bCs/>
          <w:color w:val="000000"/>
          <w:lang w:val="en-US" w:eastAsia="zh-CN"/>
        </w:rPr>
        <w:t>冬季工况风速/风速放大系数达标分析汇总</w:t>
      </w:r>
    </w:p>
    <w:tbl>
      <w:tblPr>
        <w:tblStyle w:val="22"/>
        <w:tblW w:w="4998" w:type="pct"/>
        <w:jc w:val="center"/>
        <w:tblLayout w:type="autofit"/>
        <w:tblCellMar>
          <w:top w:w="0" w:type="dxa"/>
          <w:left w:w="108" w:type="dxa"/>
          <w:bottom w:w="0" w:type="dxa"/>
          <w:right w:w="108" w:type="dxa"/>
        </w:tblCellMar>
      </w:tblPr>
      <w:tblGrid>
        <w:gridCol w:w="4039"/>
        <w:gridCol w:w="1669"/>
        <w:gridCol w:w="1946"/>
        <w:gridCol w:w="1347"/>
      </w:tblGrid>
      <w:tr w14:paraId="00F5613B">
        <w:tblPrEx>
          <w:tblCellMar>
            <w:top w:w="0" w:type="dxa"/>
            <w:left w:w="108" w:type="dxa"/>
            <w:bottom w:w="0" w:type="dxa"/>
            <w:right w:w="108" w:type="dxa"/>
          </w:tblCellMar>
        </w:tblPrEx>
        <w:trPr>
          <w:trHeight w:val="270" w:hRule="atLeast"/>
          <w:jc w:val="center"/>
        </w:trPr>
        <w:tc>
          <w:tcPr>
            <w:tcW w:w="2243" w:type="pct"/>
            <w:tcBorders>
              <w:top w:val="single" w:color="000000" w:sz="4" w:space="0"/>
              <w:left w:val="nil"/>
              <w:bottom w:val="single" w:color="000000" w:sz="4" w:space="0"/>
              <w:right w:val="single" w:color="000000" w:sz="4" w:space="0"/>
              <w:tl2br w:val="nil"/>
            </w:tcBorders>
            <w:shd w:val="clear" w:color="auto" w:fill="FFFFFF"/>
            <w:noWrap/>
            <w:vAlign w:val="center"/>
          </w:tcPr>
          <w:p w14:paraId="1FD2D12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评价内容</w:t>
            </w:r>
          </w:p>
        </w:tc>
        <w:tc>
          <w:tcPr>
            <w:tcW w:w="9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C55B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标准要求限值</w:t>
            </w:r>
          </w:p>
        </w:tc>
        <w:tc>
          <w:tcPr>
            <w:tcW w:w="10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05D0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是否有超限区域</w:t>
            </w:r>
          </w:p>
        </w:tc>
        <w:tc>
          <w:tcPr>
            <w:tcW w:w="748" w:type="pct"/>
            <w:tcBorders>
              <w:top w:val="single" w:color="000000" w:sz="4" w:space="0"/>
              <w:left w:val="single" w:color="000000" w:sz="4" w:space="0"/>
              <w:bottom w:val="single" w:color="000000" w:sz="4" w:space="0"/>
              <w:right w:val="nil"/>
            </w:tcBorders>
            <w:shd w:val="clear" w:color="auto" w:fill="FFFFFF"/>
            <w:noWrap/>
            <w:vAlign w:val="center"/>
          </w:tcPr>
          <w:p w14:paraId="1DAAA32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达标判断</w:t>
            </w:r>
          </w:p>
        </w:tc>
      </w:tr>
      <w:tr w14:paraId="029E4AF0">
        <w:tblPrEx>
          <w:tblCellMar>
            <w:top w:w="0" w:type="dxa"/>
            <w:left w:w="108" w:type="dxa"/>
            <w:bottom w:w="0" w:type="dxa"/>
            <w:right w:w="108" w:type="dxa"/>
          </w:tblCellMar>
        </w:tblPrEx>
        <w:trPr>
          <w:trHeight w:val="270" w:hRule="atLeast"/>
          <w:jc w:val="center"/>
        </w:trPr>
        <w:tc>
          <w:tcPr>
            <w:tcW w:w="2243" w:type="pct"/>
            <w:tcBorders>
              <w:top w:val="single" w:color="000000" w:sz="4" w:space="0"/>
              <w:left w:val="nil"/>
              <w:bottom w:val="single" w:color="000000" w:sz="4" w:space="0"/>
              <w:right w:val="single" w:color="000000" w:sz="4" w:space="0"/>
            </w:tcBorders>
            <w:shd w:val="clear" w:color="auto" w:fill="FFFFFF"/>
            <w:noWrap/>
            <w:vAlign w:val="center"/>
          </w:tcPr>
          <w:p w14:paraId="5F6551D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人行区域风速</w:t>
            </w:r>
          </w:p>
        </w:tc>
        <w:tc>
          <w:tcPr>
            <w:tcW w:w="9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CC5B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＜5m/s </w:t>
            </w:r>
          </w:p>
        </w:tc>
        <w:tc>
          <w:tcPr>
            <w:tcW w:w="10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6C5E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否</w:t>
            </w:r>
          </w:p>
        </w:tc>
        <w:tc>
          <w:tcPr>
            <w:tcW w:w="748" w:type="pct"/>
            <w:tcBorders>
              <w:top w:val="single" w:color="000000" w:sz="4" w:space="0"/>
              <w:left w:val="single" w:color="000000" w:sz="4" w:space="0"/>
              <w:bottom w:val="single" w:color="000000" w:sz="4" w:space="0"/>
              <w:right w:val="nil"/>
            </w:tcBorders>
            <w:shd w:val="clear" w:color="auto" w:fill="FFFFFF"/>
            <w:noWrap/>
            <w:vAlign w:val="center"/>
          </w:tcPr>
          <w:p w14:paraId="2D2857B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是</w:t>
            </w:r>
          </w:p>
        </w:tc>
      </w:tr>
      <w:tr w14:paraId="1EBAE35B">
        <w:tblPrEx>
          <w:tblCellMar>
            <w:top w:w="0" w:type="dxa"/>
            <w:left w:w="108" w:type="dxa"/>
            <w:bottom w:w="0" w:type="dxa"/>
            <w:right w:w="108" w:type="dxa"/>
          </w:tblCellMar>
        </w:tblPrEx>
        <w:trPr>
          <w:trHeight w:val="270" w:hRule="atLeast"/>
          <w:jc w:val="center"/>
        </w:trPr>
        <w:tc>
          <w:tcPr>
            <w:tcW w:w="2243" w:type="pct"/>
            <w:tcBorders>
              <w:top w:val="single" w:color="000000" w:sz="4" w:space="0"/>
              <w:left w:val="nil"/>
              <w:bottom w:val="single" w:color="000000" w:sz="4" w:space="0"/>
              <w:right w:val="single" w:color="000000" w:sz="4" w:space="0"/>
            </w:tcBorders>
            <w:shd w:val="clear" w:color="auto" w:fill="FFFFFF"/>
            <w:noWrap/>
            <w:vAlign w:val="center"/>
          </w:tcPr>
          <w:p w14:paraId="5D562B2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人行区域风速放大系数</w:t>
            </w:r>
          </w:p>
        </w:tc>
        <w:tc>
          <w:tcPr>
            <w:tcW w:w="9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A51F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w:t>
            </w:r>
          </w:p>
        </w:tc>
        <w:tc>
          <w:tcPr>
            <w:tcW w:w="10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DBE22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否</w:t>
            </w:r>
          </w:p>
        </w:tc>
        <w:tc>
          <w:tcPr>
            <w:tcW w:w="748" w:type="pct"/>
            <w:tcBorders>
              <w:top w:val="single" w:color="000000" w:sz="4" w:space="0"/>
              <w:left w:val="single" w:color="000000" w:sz="4" w:space="0"/>
              <w:bottom w:val="single" w:color="000000" w:sz="4" w:space="0"/>
              <w:right w:val="nil"/>
            </w:tcBorders>
            <w:shd w:val="clear" w:color="auto" w:fill="FFFFFF"/>
            <w:noWrap/>
            <w:vAlign w:val="center"/>
          </w:tcPr>
          <w:p w14:paraId="0A0400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是</w:t>
            </w:r>
          </w:p>
        </w:tc>
      </w:tr>
      <w:tr w14:paraId="3B333FB3">
        <w:tblPrEx>
          <w:tblCellMar>
            <w:top w:w="0" w:type="dxa"/>
            <w:left w:w="108" w:type="dxa"/>
            <w:bottom w:w="0" w:type="dxa"/>
            <w:right w:w="108" w:type="dxa"/>
          </w:tblCellMar>
        </w:tblPrEx>
        <w:trPr>
          <w:trHeight w:val="270" w:hRule="atLeast"/>
          <w:jc w:val="center"/>
        </w:trPr>
        <w:tc>
          <w:tcPr>
            <w:tcW w:w="2243" w:type="pct"/>
            <w:tcBorders>
              <w:top w:val="single" w:color="000000" w:sz="4" w:space="0"/>
              <w:left w:val="nil"/>
              <w:bottom w:val="single" w:color="000000" w:sz="4" w:space="0"/>
              <w:right w:val="single" w:color="000000" w:sz="4" w:space="0"/>
            </w:tcBorders>
            <w:shd w:val="clear" w:color="auto" w:fill="FFFFFF"/>
            <w:noWrap/>
            <w:vAlign w:val="center"/>
          </w:tcPr>
          <w:p w14:paraId="7F04710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户外休息区、儿童娱乐区风速</w:t>
            </w:r>
          </w:p>
        </w:tc>
        <w:tc>
          <w:tcPr>
            <w:tcW w:w="9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75F02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w:t>
            </w:r>
          </w:p>
        </w:tc>
        <w:tc>
          <w:tcPr>
            <w:tcW w:w="10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6A8E3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bookmarkStart w:id="43" w:name="冬季工况休息区风速是否有超限区域"/>
            <w:r>
              <w:rPr>
                <w:rFonts w:hint="eastAsia" w:ascii="宋体" w:hAnsi="宋体" w:eastAsia="宋体" w:cs="Courier New"/>
                <w:b w:val="0"/>
                <w:color w:val="000000"/>
                <w:kern w:val="0"/>
                <w:sz w:val="21"/>
                <w:szCs w:val="24"/>
                <w:lang w:val="en-US" w:eastAsia="zh-CN" w:bidi="ar-SA"/>
              </w:rPr>
              <w:t>否</w:t>
            </w:r>
            <w:bookmarkEnd w:id="43"/>
          </w:p>
        </w:tc>
        <w:tc>
          <w:tcPr>
            <w:tcW w:w="748" w:type="pct"/>
            <w:tcBorders>
              <w:top w:val="single" w:color="000000" w:sz="4" w:space="0"/>
              <w:left w:val="single" w:color="000000" w:sz="4" w:space="0"/>
              <w:bottom w:val="single" w:color="000000" w:sz="4" w:space="0"/>
              <w:right w:val="nil"/>
            </w:tcBorders>
            <w:shd w:val="clear" w:color="auto" w:fill="FFFFFF"/>
            <w:noWrap/>
            <w:vAlign w:val="center"/>
          </w:tcPr>
          <w:p w14:paraId="682C51B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bookmarkStart w:id="44" w:name="冬季工况休息区风速达标判断"/>
            <w:r>
              <w:rPr>
                <w:rFonts w:hint="eastAsia" w:ascii="宋体" w:hAnsi="宋体" w:eastAsia="宋体" w:cs="Courier New"/>
                <w:b w:val="0"/>
                <w:color w:val="000000"/>
                <w:kern w:val="0"/>
                <w:sz w:val="21"/>
                <w:szCs w:val="24"/>
                <w:lang w:val="en-US" w:eastAsia="zh-CN" w:bidi="ar-SA"/>
              </w:rPr>
              <w:t>是</w:t>
            </w:r>
            <w:bookmarkEnd w:id="44"/>
          </w:p>
        </w:tc>
      </w:tr>
      <w:tr w14:paraId="3275DCC3">
        <w:tblPrEx>
          <w:tblCellMar>
            <w:top w:w="0" w:type="dxa"/>
            <w:left w:w="108" w:type="dxa"/>
            <w:bottom w:w="0" w:type="dxa"/>
            <w:right w:w="108" w:type="dxa"/>
          </w:tblCellMar>
        </w:tblPrEx>
        <w:trPr>
          <w:trHeight w:val="270" w:hRule="atLeast"/>
          <w:jc w:val="center"/>
        </w:trPr>
        <w:tc>
          <w:tcPr>
            <w:tcW w:w="2243" w:type="pct"/>
            <w:tcBorders>
              <w:top w:val="single" w:color="000000" w:sz="4" w:space="0"/>
              <w:left w:val="nil"/>
              <w:bottom w:val="single" w:color="000000" w:sz="4" w:space="0"/>
              <w:right w:val="single" w:color="000000" w:sz="4" w:space="0"/>
            </w:tcBorders>
            <w:shd w:val="clear" w:color="auto" w:fill="FFFFFF"/>
            <w:noWrap/>
            <w:vAlign w:val="center"/>
          </w:tcPr>
          <w:p w14:paraId="609FB30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户外休息区、儿童娱乐区风速放大系数</w:t>
            </w:r>
          </w:p>
        </w:tc>
        <w:tc>
          <w:tcPr>
            <w:tcW w:w="92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861E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bookmarkStart w:id="45" w:name="冬季工况休息区和儿童娱乐区风速放大系数标准要求限值"/>
            <w:r>
              <w:rPr>
                <w:rFonts w:hint="eastAsia" w:ascii="宋体" w:hAnsi="宋体" w:eastAsia="宋体" w:cs="Courier New"/>
                <w:b w:val="0"/>
                <w:color w:val="000000"/>
                <w:kern w:val="0"/>
                <w:sz w:val="21"/>
                <w:szCs w:val="24"/>
                <w:lang w:val="en-US" w:eastAsia="zh-CN" w:bidi="ar-SA"/>
              </w:rPr>
              <w:t>2</w:t>
            </w:r>
            <w:bookmarkEnd w:id="45"/>
          </w:p>
        </w:tc>
        <w:tc>
          <w:tcPr>
            <w:tcW w:w="108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F31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bookmarkStart w:id="46" w:name="冬季工况户外休息区风速放大系数是否有超限区域"/>
            <w:r>
              <w:rPr>
                <w:rFonts w:hint="eastAsia" w:ascii="宋体" w:hAnsi="宋体" w:eastAsia="宋体" w:cs="Courier New"/>
                <w:b w:val="0"/>
                <w:color w:val="000000"/>
                <w:kern w:val="0"/>
                <w:sz w:val="21"/>
                <w:szCs w:val="24"/>
                <w:lang w:val="en-US" w:eastAsia="zh-CN" w:bidi="ar-SA"/>
              </w:rPr>
              <w:t>否</w:t>
            </w:r>
            <w:bookmarkEnd w:id="46"/>
          </w:p>
        </w:tc>
        <w:tc>
          <w:tcPr>
            <w:tcW w:w="748" w:type="pct"/>
            <w:tcBorders>
              <w:top w:val="single" w:color="000000" w:sz="4" w:space="0"/>
              <w:left w:val="single" w:color="000000" w:sz="4" w:space="0"/>
              <w:bottom w:val="single" w:color="000000" w:sz="4" w:space="0"/>
              <w:right w:val="nil"/>
            </w:tcBorders>
            <w:shd w:val="clear" w:color="auto" w:fill="FFFFFF"/>
            <w:noWrap/>
            <w:vAlign w:val="center"/>
          </w:tcPr>
          <w:p w14:paraId="169EBDA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bookmarkStart w:id="47" w:name="冬季工况户外休息区风速放大系数达标判断"/>
            <w:r>
              <w:rPr>
                <w:rFonts w:hint="eastAsia" w:ascii="宋体" w:hAnsi="宋体" w:eastAsia="宋体" w:cs="Courier New"/>
                <w:b w:val="0"/>
                <w:color w:val="000000"/>
                <w:kern w:val="0"/>
                <w:sz w:val="21"/>
                <w:szCs w:val="24"/>
                <w:lang w:val="en-US" w:eastAsia="zh-CN" w:bidi="ar-SA"/>
              </w:rPr>
              <w:t>是</w:t>
            </w:r>
            <w:bookmarkEnd w:id="47"/>
          </w:p>
        </w:tc>
      </w:tr>
    </w:tbl>
    <w:p w14:paraId="103DEB37">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48" w:name="heading_30"/>
      <w:bookmarkStart w:id="49" w:name="_Toc6242"/>
      <w:r>
        <w:rPr>
          <w:rFonts w:hint="eastAsia" w:ascii="宋体" w:hAnsi="宋体" w:cs="Arial"/>
          <w:b/>
          <w:bCs/>
          <w:kern w:val="2"/>
          <w:sz w:val="24"/>
          <w:szCs w:val="21"/>
          <w:lang w:val="en-US" w:eastAsia="zh-CN" w:bidi="ar-SA"/>
        </w:rPr>
        <w:t>夏季工况分析</w:t>
      </w:r>
      <w:bookmarkEnd w:id="48"/>
      <w:bookmarkEnd w:id="49"/>
    </w:p>
    <w:p w14:paraId="315605C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本项目</w:t>
      </w:r>
      <w:r>
        <w:rPr>
          <w:rFonts w:hint="eastAsia" w:ascii="宋体" w:hAnsi="宋体" w:cs="Times New Roman"/>
          <w:spacing w:val="-2"/>
          <w:kern w:val="2"/>
          <w:sz w:val="24"/>
          <w:lang w:val="en-US" w:eastAsia="zh-CN"/>
        </w:rPr>
        <w:t>夏季</w:t>
      </w:r>
      <w:r>
        <w:rPr>
          <w:rFonts w:hint="eastAsia" w:ascii="宋体" w:hAnsi="宋体" w:eastAsia="宋体" w:cs="Times New Roman"/>
          <w:spacing w:val="-2"/>
          <w:kern w:val="2"/>
          <w:sz w:val="24"/>
          <w:lang w:val="en-US" w:eastAsia="zh-CN"/>
        </w:rPr>
        <w:t>工况的入口边界风速为</w:t>
      </w:r>
      <w:bookmarkStart w:id="50" w:name="入口边界风速"/>
      <w:r>
        <w:rPr>
          <w:rFonts w:hint="eastAsia" w:ascii="宋体" w:hAnsi="宋体" w:eastAsia="宋体" w:cs="Times New Roman"/>
          <w:spacing w:val="-2"/>
          <w:kern w:val="2"/>
          <w:sz w:val="24"/>
          <w:lang w:val="en-US" w:eastAsia="zh-CN"/>
        </w:rPr>
        <w:t>3.39</w:t>
      </w:r>
      <w:bookmarkEnd w:id="50"/>
      <w:r>
        <w:rPr>
          <w:rFonts w:hint="eastAsia" w:ascii="宋体" w:hAnsi="宋体" w:eastAsia="宋体" w:cs="Times New Roman"/>
          <w:spacing w:val="-2"/>
          <w:kern w:val="2"/>
          <w:sz w:val="24"/>
          <w:lang w:val="en-US" w:eastAsia="zh-CN"/>
        </w:rPr>
        <w:t>m/s，风向为</w:t>
      </w:r>
      <w:r>
        <w:rPr>
          <w:rFonts w:hint="eastAsia" w:ascii="宋体" w:hAnsi="宋体" w:cs="Times New Roman"/>
          <w:spacing w:val="-2"/>
          <w:kern w:val="2"/>
          <w:sz w:val="24"/>
          <w:lang w:val="en-US" w:eastAsia="zh-CN"/>
        </w:rPr>
        <w:t>SW</w:t>
      </w:r>
      <w:r>
        <w:rPr>
          <w:rFonts w:hint="eastAsia" w:ascii="宋体" w:hAnsi="宋体" w:eastAsia="宋体" w:cs="Times New Roman"/>
          <w:spacing w:val="-2"/>
          <w:kern w:val="2"/>
          <w:sz w:val="24"/>
          <w:lang w:val="en-US" w:eastAsia="zh-CN"/>
        </w:rPr>
        <w:t>。</w:t>
      </w:r>
    </w:p>
    <w:p w14:paraId="6AD66279">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根据前述《绿色建筑评价标准》对于夏季工况的要求，</w:t>
      </w:r>
      <w:r>
        <w:rPr>
          <w:rFonts w:hint="eastAsia" w:ascii="宋体" w:hAnsi="宋体" w:cs="Times New Roman"/>
          <w:spacing w:val="-2"/>
          <w:kern w:val="2"/>
          <w:sz w:val="24"/>
          <w:lang w:val="en-US" w:eastAsia="zh-CN"/>
        </w:rPr>
        <w:t>夏季</w:t>
      </w:r>
      <w:r>
        <w:rPr>
          <w:rFonts w:hint="eastAsia" w:ascii="宋体" w:hAnsi="宋体" w:eastAsia="宋体" w:cs="Times New Roman"/>
          <w:spacing w:val="-2"/>
          <w:kern w:val="2"/>
          <w:sz w:val="24"/>
          <w:lang w:val="en-US" w:eastAsia="zh-CN"/>
        </w:rPr>
        <w:t>典型风速和风向条件下，场地内人活动区不出现涡旋或无风区。通过该项标准指导设计确保合理的建筑布局，在</w:t>
      </w:r>
      <w:r>
        <w:rPr>
          <w:rFonts w:hint="eastAsia" w:ascii="宋体" w:hAnsi="宋体" w:cs="Times New Roman"/>
          <w:spacing w:val="-2"/>
          <w:kern w:val="2"/>
          <w:sz w:val="24"/>
          <w:lang w:val="en-US" w:eastAsia="zh-CN"/>
        </w:rPr>
        <w:t>夏季</w:t>
      </w:r>
      <w:r>
        <w:rPr>
          <w:rFonts w:hint="eastAsia" w:ascii="宋体" w:hAnsi="宋体" w:eastAsia="宋体" w:cs="Times New Roman"/>
          <w:spacing w:val="-2"/>
          <w:kern w:val="2"/>
          <w:sz w:val="24"/>
          <w:lang w:val="en-US" w:eastAsia="zh-CN"/>
        </w:rPr>
        <w:t>形成有效的巷道风，优化街区自然通风环境，避免</w:t>
      </w:r>
      <w:r>
        <w:rPr>
          <w:rFonts w:hint="eastAsia" w:ascii="宋体" w:hAnsi="宋体" w:cs="Times New Roman"/>
          <w:spacing w:val="-2"/>
          <w:kern w:val="2"/>
          <w:sz w:val="24"/>
          <w:lang w:val="en-US" w:eastAsia="zh-CN"/>
        </w:rPr>
        <w:t>夏季</w:t>
      </w:r>
      <w:r>
        <w:rPr>
          <w:rFonts w:hint="eastAsia" w:ascii="宋体" w:hAnsi="宋体" w:eastAsia="宋体" w:cs="Times New Roman"/>
          <w:spacing w:val="-2"/>
          <w:kern w:val="2"/>
          <w:sz w:val="24"/>
          <w:lang w:val="en-US" w:eastAsia="zh-CN"/>
        </w:rPr>
        <w:t>人活动区有明显的气流旋涡和无风区，从而造成闷热不适感。因此本项目需要分析人活动区的风速，并作出判断。</w:t>
      </w:r>
    </w:p>
    <w:p w14:paraId="54DD724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通常当人活动区域风速≤0.2m/s时，该区域风向标处于静止状态，在此区域活动的人会有明显的无风感，则该区域为无风区。</w:t>
      </w:r>
    </w:p>
    <w:p w14:paraId="56724F80">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Times New Roman"/>
          <w:spacing w:val="-2"/>
          <w:kern w:val="2"/>
          <w:sz w:val="24"/>
          <w:lang w:val="en-US" w:eastAsia="zh-CN"/>
        </w:rPr>
      </w:pPr>
    </w:p>
    <w:p w14:paraId="76C93FB5">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drawing>
          <wp:inline distT="0" distB="0" distL="0" distR="0">
            <wp:extent cx="4438650" cy="35528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7"/>
                    <a:srcRect r="21681"/>
                    <a:stretch>
                      <a:fillRect/>
                    </a:stretch>
                  </pic:blipFill>
                  <pic:spPr>
                    <a:xfrm>
                      <a:off x="0" y="0"/>
                      <a:ext cx="4438650" cy="3552825"/>
                    </a:xfrm>
                    <a:prstGeom prst="rect">
                      <a:avLst/>
                    </a:prstGeom>
                  </pic:spPr>
                </pic:pic>
              </a:graphicData>
            </a:graphic>
          </wp:inline>
        </w:drawing>
      </w:r>
    </w:p>
    <w:p w14:paraId="6AC4024C">
      <w:pPr>
        <w:kinsoku w:val="0"/>
        <w:spacing w:line="400" w:lineRule="atLeast"/>
        <w:ind w:firstLine="0" w:firstLineChars="0"/>
        <w:jc w:val="center"/>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图1-</w:t>
      </w:r>
      <w:r>
        <w:rPr>
          <w:rFonts w:hint="eastAsia" w:ascii="宋体" w:hAnsi="宋体" w:cs="Times New Roman"/>
          <w:kern w:val="2"/>
          <w:sz w:val="21"/>
          <w:szCs w:val="24"/>
          <w:lang w:val="en-US" w:eastAsia="zh-CN" w:bidi="ar-SA"/>
        </w:rPr>
        <w:t>15</w:t>
      </w:r>
      <w:r>
        <w:rPr>
          <w:rFonts w:hint="eastAsia" w:ascii="宋体" w:hAnsi="宋体" w:eastAsia="宋体" w:cs="Times New Roman"/>
          <w:kern w:val="2"/>
          <w:sz w:val="21"/>
          <w:szCs w:val="24"/>
          <w:lang w:val="en-US" w:eastAsia="zh-CN" w:bidi="ar-SA"/>
        </w:rPr>
        <w:t xml:space="preserve">  </w:t>
      </w:r>
      <w:r>
        <w:rPr>
          <w:rFonts w:hint="eastAsia" w:ascii="宋体" w:hAnsi="宋体" w:cs="Times New Roman"/>
          <w:kern w:val="2"/>
          <w:sz w:val="21"/>
          <w:szCs w:val="24"/>
          <w:lang w:val="en-US" w:eastAsia="zh-CN" w:bidi="ar-SA"/>
        </w:rPr>
        <w:t>计算</w:t>
      </w:r>
      <w:r>
        <w:rPr>
          <w:rFonts w:hint="eastAsia" w:ascii="宋体" w:hAnsi="宋体" w:eastAsia="宋体" w:cs="Times New Roman"/>
          <w:kern w:val="2"/>
          <w:sz w:val="21"/>
          <w:szCs w:val="24"/>
          <w:lang w:val="en-US" w:eastAsia="zh-CN" w:bidi="ar-SA"/>
        </w:rPr>
        <w:t>域-1.5米高度水平面风速云图-</w:t>
      </w:r>
      <w:r>
        <w:rPr>
          <w:rFonts w:hint="eastAsia" w:ascii="宋体" w:hAnsi="宋体" w:cs="Times New Roman"/>
          <w:kern w:val="2"/>
          <w:sz w:val="21"/>
          <w:szCs w:val="24"/>
          <w:lang w:val="en-US" w:eastAsia="zh-CN" w:bidi="ar-SA"/>
        </w:rPr>
        <w:t>夏</w:t>
      </w:r>
      <w:r>
        <w:rPr>
          <w:rFonts w:hint="eastAsia" w:ascii="宋体" w:hAnsi="宋体" w:eastAsia="宋体" w:cs="Times New Roman"/>
          <w:kern w:val="2"/>
          <w:sz w:val="21"/>
          <w:szCs w:val="24"/>
          <w:lang w:val="en-US" w:eastAsia="zh-CN" w:bidi="ar-SA"/>
        </w:rPr>
        <w:t>季</w:t>
      </w:r>
    </w:p>
    <w:p w14:paraId="47F84444">
      <w:pPr>
        <w:widowControl w:val="0"/>
        <w:tabs>
          <w:tab w:val="left" w:pos="3472"/>
          <w:tab w:val="clear" w:pos="377"/>
        </w:tabs>
        <w:spacing w:line="400" w:lineRule="exact"/>
        <w:ind w:firstLine="472" w:firstLineChars="200"/>
        <w:rPr>
          <w:rFonts w:hint="default" w:ascii="宋体" w:hAnsi="宋体" w:eastAsia="宋体" w:cs="Times New Roman"/>
          <w:spacing w:val="-2"/>
          <w:kern w:val="2"/>
          <w:sz w:val="24"/>
          <w:lang w:val="en-US" w:eastAsia="zh-CN"/>
        </w:rPr>
      </w:pPr>
      <w:r>
        <w:rPr>
          <w:rFonts w:hint="default" w:ascii="宋体" w:hAnsi="宋体" w:eastAsia="宋体" w:cs="Times New Roman"/>
          <w:spacing w:val="-2"/>
          <w:kern w:val="2"/>
          <w:sz w:val="24"/>
          <w:lang w:val="en-US" w:eastAsia="zh-CN"/>
        </w:rPr>
        <w:t>图</w:t>
      </w:r>
      <w:r>
        <w:rPr>
          <w:rFonts w:hint="eastAsia" w:ascii="宋体" w:hAnsi="宋体" w:eastAsia="宋体" w:cs="Times New Roman"/>
          <w:spacing w:val="-2"/>
          <w:kern w:val="2"/>
          <w:sz w:val="24"/>
          <w:lang w:val="en-US" w:eastAsia="zh-CN"/>
        </w:rPr>
        <w:t>1-</w:t>
      </w:r>
      <w:r>
        <w:rPr>
          <w:rFonts w:hint="eastAsia" w:ascii="宋体" w:hAnsi="宋体" w:cs="Times New Roman"/>
          <w:spacing w:val="-2"/>
          <w:kern w:val="2"/>
          <w:sz w:val="24"/>
          <w:lang w:val="en-US" w:eastAsia="zh-CN"/>
        </w:rPr>
        <w:t>15</w:t>
      </w:r>
      <w:r>
        <w:rPr>
          <w:rFonts w:hint="default" w:ascii="宋体" w:hAnsi="宋体" w:eastAsia="宋体" w:cs="Times New Roman"/>
          <w:spacing w:val="-2"/>
          <w:kern w:val="2"/>
          <w:sz w:val="24"/>
          <w:lang w:val="en-US" w:eastAsia="zh-CN"/>
        </w:rPr>
        <w:t>为整个计算域内风速分布云图，参考图中速度分布可以对项目中建筑布局进行优化。</w:t>
      </w:r>
      <w:bookmarkStart w:id="51" w:name="人活动区风速分析结论"/>
      <w:bookmarkEnd w:id="51"/>
      <w:r>
        <w:rPr>
          <w:rFonts w:hint="default" w:ascii="宋体" w:hAnsi="宋体" w:eastAsia="宋体" w:cs="Times New Roman"/>
          <w:spacing w:val="-2"/>
          <w:kern w:val="2"/>
          <w:sz w:val="24"/>
          <w:lang w:val="en-US" w:eastAsia="zh-CN"/>
        </w:rPr>
        <w:t>黑色等值线内的人活动区域风速小于0.2m/s，因此未满足绿标要求，需调整建筑布局优化人行区风速分布。</w:t>
      </w:r>
    </w:p>
    <w:p w14:paraId="6822981D">
      <w:pPr>
        <w:kinsoku w:val="0"/>
        <w:spacing w:line="400" w:lineRule="atLeast"/>
        <w:ind w:firstLine="0" w:firstLineChars="0"/>
        <w:jc w:val="center"/>
        <w:rPr>
          <w:rFonts w:hint="eastAsia" w:ascii="宋体" w:hAnsi="宋体" w:eastAsia="宋体" w:cs="Times New Roman"/>
          <w:kern w:val="2"/>
          <w:sz w:val="21"/>
          <w:szCs w:val="24"/>
          <w:lang w:val="en-US" w:eastAsia="zh-CN" w:bidi="ar-SA"/>
        </w:rPr>
      </w:pPr>
    </w:p>
    <w:p w14:paraId="380AA18B">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Times New Roman"/>
          <w:spacing w:val="-2"/>
          <w:kern w:val="2"/>
          <w:sz w:val="24"/>
          <w:lang w:val="en-US" w:eastAsia="zh-CN"/>
        </w:rPr>
      </w:pPr>
    </w:p>
    <w:p w14:paraId="7CC520D2">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drawing>
          <wp:inline distT="0" distB="0" distL="0" distR="0">
            <wp:extent cx="4338955" cy="37052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8"/>
                    <a:srcRect r="23440"/>
                    <a:stretch>
                      <a:fillRect/>
                    </a:stretch>
                  </pic:blipFill>
                  <pic:spPr>
                    <a:xfrm>
                      <a:off x="0" y="0"/>
                      <a:ext cx="4338955" cy="3705225"/>
                    </a:xfrm>
                    <a:prstGeom prst="rect">
                      <a:avLst/>
                    </a:prstGeom>
                  </pic:spPr>
                </pic:pic>
              </a:graphicData>
            </a:graphic>
          </wp:inline>
        </w:drawing>
      </w:r>
    </w:p>
    <w:p w14:paraId="21105F3A">
      <w:pPr>
        <w:kinsoku w:val="0"/>
        <w:spacing w:line="400" w:lineRule="atLeast"/>
        <w:ind w:firstLine="0" w:firstLineChars="0"/>
        <w:jc w:val="center"/>
        <w:rPr>
          <w:rFonts w:hint="eastAsia" w:ascii="宋体" w:hAnsi="宋体" w:eastAsia="宋体" w:cs="Times New Roman"/>
          <w:kern w:val="2"/>
          <w:sz w:val="21"/>
          <w:szCs w:val="24"/>
          <w:lang w:val="en-US" w:eastAsia="zh-CN" w:bidi="ar-SA"/>
        </w:rPr>
      </w:pPr>
      <w:r>
        <w:rPr>
          <w:rFonts w:hint="eastAsia" w:ascii="宋体" w:hAnsi="宋体" w:eastAsia="宋体" w:cs="Times New Roman"/>
          <w:kern w:val="2"/>
          <w:sz w:val="21"/>
          <w:szCs w:val="24"/>
          <w:lang w:val="en-US" w:eastAsia="zh-CN" w:bidi="ar-SA"/>
        </w:rPr>
        <w:t>图1-</w:t>
      </w:r>
      <w:r>
        <w:rPr>
          <w:rFonts w:hint="eastAsia" w:ascii="宋体" w:hAnsi="宋体" w:cs="Times New Roman"/>
          <w:kern w:val="2"/>
          <w:sz w:val="21"/>
          <w:szCs w:val="24"/>
          <w:lang w:val="en-US" w:eastAsia="zh-CN" w:bidi="ar-SA"/>
        </w:rPr>
        <w:t>16</w:t>
      </w:r>
      <w:r>
        <w:rPr>
          <w:rFonts w:hint="eastAsia" w:ascii="宋体" w:hAnsi="宋体" w:eastAsia="宋体" w:cs="Times New Roman"/>
          <w:kern w:val="2"/>
          <w:sz w:val="21"/>
          <w:szCs w:val="24"/>
          <w:lang w:val="en-US" w:eastAsia="zh-CN" w:bidi="ar-SA"/>
        </w:rPr>
        <w:t xml:space="preserve">  </w:t>
      </w:r>
      <w:r>
        <w:rPr>
          <w:rFonts w:hint="eastAsia" w:ascii="宋体" w:hAnsi="宋体" w:cs="Times New Roman"/>
          <w:kern w:val="2"/>
          <w:sz w:val="21"/>
          <w:szCs w:val="24"/>
          <w:lang w:val="en-US" w:eastAsia="zh-CN" w:bidi="ar-SA"/>
        </w:rPr>
        <w:t>计算</w:t>
      </w:r>
      <w:r>
        <w:rPr>
          <w:rFonts w:hint="eastAsia" w:ascii="宋体" w:hAnsi="宋体" w:eastAsia="宋体" w:cs="Times New Roman"/>
          <w:kern w:val="2"/>
          <w:sz w:val="21"/>
          <w:szCs w:val="24"/>
          <w:lang w:val="en-US" w:eastAsia="zh-CN" w:bidi="ar-SA"/>
        </w:rPr>
        <w:t>域-1.5米高度水平面风速</w:t>
      </w:r>
      <w:r>
        <w:rPr>
          <w:rFonts w:hint="eastAsia" w:ascii="宋体" w:hAnsi="宋体" w:cs="Times New Roman"/>
          <w:kern w:val="2"/>
          <w:sz w:val="21"/>
          <w:szCs w:val="24"/>
          <w:lang w:val="en-US" w:eastAsia="zh-CN" w:bidi="ar-SA"/>
        </w:rPr>
        <w:t>矢量</w:t>
      </w:r>
      <w:r>
        <w:rPr>
          <w:rFonts w:hint="eastAsia" w:ascii="宋体" w:hAnsi="宋体" w:eastAsia="宋体" w:cs="Times New Roman"/>
          <w:kern w:val="2"/>
          <w:sz w:val="21"/>
          <w:szCs w:val="24"/>
          <w:lang w:val="en-US" w:eastAsia="zh-CN" w:bidi="ar-SA"/>
        </w:rPr>
        <w:t>图-</w:t>
      </w:r>
      <w:r>
        <w:rPr>
          <w:rFonts w:hint="eastAsia" w:ascii="宋体" w:hAnsi="宋体" w:cs="Times New Roman"/>
          <w:kern w:val="2"/>
          <w:sz w:val="21"/>
          <w:szCs w:val="24"/>
          <w:lang w:val="en-US" w:eastAsia="zh-CN" w:bidi="ar-SA"/>
        </w:rPr>
        <w:t>夏</w:t>
      </w:r>
      <w:r>
        <w:rPr>
          <w:rFonts w:hint="eastAsia" w:ascii="宋体" w:hAnsi="宋体" w:eastAsia="宋体" w:cs="Times New Roman"/>
          <w:kern w:val="2"/>
          <w:sz w:val="21"/>
          <w:szCs w:val="24"/>
          <w:lang w:val="en-US" w:eastAsia="zh-CN" w:bidi="ar-SA"/>
        </w:rPr>
        <w:t>季</w:t>
      </w:r>
    </w:p>
    <w:p w14:paraId="091471A2">
      <w:pPr>
        <w:widowControl w:val="0"/>
        <w:tabs>
          <w:tab w:val="left" w:pos="3472"/>
          <w:tab w:val="clear" w:pos="377"/>
        </w:tabs>
        <w:spacing w:line="400" w:lineRule="exact"/>
        <w:ind w:firstLine="472" w:firstLineChars="200"/>
        <w:rPr>
          <w:rFonts w:hint="eastAsia" w:ascii="宋体" w:hAnsi="宋体" w:eastAsia="宋体" w:cs="Times New Roman"/>
          <w:kern w:val="2"/>
          <w:sz w:val="21"/>
          <w:szCs w:val="24"/>
          <w:lang w:val="en-US" w:eastAsia="zh-CN" w:bidi="ar-SA"/>
        </w:rPr>
      </w:pPr>
      <w:r>
        <w:rPr>
          <w:rFonts w:hint="default" w:ascii="宋体" w:hAnsi="宋体" w:eastAsia="宋体" w:cs="Times New Roman"/>
          <w:spacing w:val="-2"/>
          <w:kern w:val="2"/>
          <w:sz w:val="24"/>
          <w:lang w:val="en-US" w:eastAsia="zh-CN"/>
        </w:rPr>
        <w:t>图</w:t>
      </w:r>
      <w:r>
        <w:rPr>
          <w:rFonts w:hint="eastAsia" w:ascii="宋体" w:hAnsi="宋体" w:eastAsia="宋体" w:cs="Times New Roman"/>
          <w:spacing w:val="-2"/>
          <w:kern w:val="2"/>
          <w:sz w:val="24"/>
          <w:lang w:val="en-US" w:eastAsia="zh-CN"/>
        </w:rPr>
        <w:t>1-</w:t>
      </w:r>
      <w:r>
        <w:rPr>
          <w:rFonts w:hint="eastAsia" w:ascii="宋体" w:hAnsi="宋体" w:cs="Times New Roman"/>
          <w:spacing w:val="-2"/>
          <w:kern w:val="2"/>
          <w:sz w:val="24"/>
          <w:lang w:val="en-US" w:eastAsia="zh-CN"/>
        </w:rPr>
        <w:t>16</w:t>
      </w:r>
      <w:r>
        <w:rPr>
          <w:rFonts w:hint="default" w:ascii="宋体" w:hAnsi="宋体" w:eastAsia="宋体" w:cs="Times New Roman"/>
          <w:spacing w:val="-2"/>
          <w:kern w:val="2"/>
          <w:sz w:val="24"/>
          <w:lang w:val="en-US" w:eastAsia="zh-CN"/>
        </w:rPr>
        <w:t>为计算域内的风速矢量图，</w:t>
      </w:r>
      <w:r>
        <w:rPr>
          <w:rFonts w:hint="eastAsia" w:ascii="宋体" w:hAnsi="宋体" w:eastAsia="宋体" w:cs="Times New Roman"/>
          <w:spacing w:val="-2"/>
          <w:kern w:val="2"/>
          <w:sz w:val="24"/>
          <w:lang w:val="en-US" w:eastAsia="zh-CN"/>
        </w:rPr>
        <w:t>由</w:t>
      </w:r>
      <w:r>
        <w:rPr>
          <w:rFonts w:hint="eastAsia" w:ascii="宋体" w:hAnsi="宋体" w:cs="Times New Roman"/>
          <w:spacing w:val="-2"/>
          <w:kern w:val="2"/>
          <w:sz w:val="24"/>
          <w:lang w:val="en-US" w:eastAsia="zh-CN"/>
        </w:rPr>
        <w:t>图</w:t>
      </w:r>
      <w:r>
        <w:rPr>
          <w:rFonts w:hint="default" w:ascii="宋体" w:hAnsi="宋体" w:eastAsia="宋体" w:cs="Times New Roman"/>
          <w:spacing w:val="-2"/>
          <w:kern w:val="2"/>
          <w:sz w:val="24"/>
          <w:lang w:val="en-US" w:eastAsia="zh-CN"/>
        </w:rPr>
        <w:t>可知，计算域内没有明显的旋涡产生，本项目建筑布局基本合理。</w:t>
      </w:r>
    </w:p>
    <w:p w14:paraId="4C2FB2BE">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表1-11  </w:t>
      </w:r>
      <w:bookmarkStart w:id="52" w:name="季节8"/>
      <w:r>
        <w:rPr>
          <w:rFonts w:hint="eastAsia" w:ascii="楷体_GB2312" w:hAnsi="宋体" w:eastAsia="楷体_GB2312"/>
          <w:b/>
          <w:bCs/>
          <w:color w:val="000000"/>
          <w:lang w:val="en-US" w:eastAsia="zh-CN"/>
        </w:rPr>
        <w:t>夏季</w:t>
      </w:r>
      <w:bookmarkEnd w:id="52"/>
      <w:r>
        <w:rPr>
          <w:rFonts w:hint="eastAsia" w:ascii="楷体_GB2312" w:hAnsi="宋体" w:eastAsia="楷体_GB2312"/>
          <w:b/>
          <w:bCs/>
          <w:color w:val="000000"/>
          <w:lang w:val="en-US" w:eastAsia="zh-CN"/>
        </w:rPr>
        <w:t>无风区/旋涡区达标分析汇总</w:t>
      </w:r>
    </w:p>
    <w:tbl>
      <w:tblPr>
        <w:tblStyle w:val="22"/>
        <w:tblW w:w="4998" w:type="pct"/>
        <w:tblInd w:w="0" w:type="dxa"/>
        <w:tblLayout w:type="autofit"/>
        <w:tblCellMar>
          <w:top w:w="0" w:type="dxa"/>
          <w:left w:w="108" w:type="dxa"/>
          <w:bottom w:w="0" w:type="dxa"/>
          <w:right w:w="108" w:type="dxa"/>
        </w:tblCellMar>
      </w:tblPr>
      <w:tblGrid>
        <w:gridCol w:w="1982"/>
        <w:gridCol w:w="2289"/>
        <w:gridCol w:w="2900"/>
        <w:gridCol w:w="1830"/>
      </w:tblGrid>
      <w:tr w14:paraId="7FF33A53">
        <w:tblPrEx>
          <w:tblCellMar>
            <w:top w:w="0" w:type="dxa"/>
            <w:left w:w="108" w:type="dxa"/>
            <w:bottom w:w="0" w:type="dxa"/>
            <w:right w:w="108" w:type="dxa"/>
          </w:tblCellMar>
        </w:tblPrEx>
        <w:trPr>
          <w:trHeight w:val="270" w:hRule="atLeast"/>
        </w:trPr>
        <w:tc>
          <w:tcPr>
            <w:tcW w:w="1101" w:type="pct"/>
            <w:tcBorders>
              <w:top w:val="single" w:color="000000" w:sz="4" w:space="0"/>
              <w:left w:val="nil"/>
              <w:bottom w:val="single" w:color="000000" w:sz="4" w:space="0"/>
              <w:right w:val="single" w:color="000000" w:sz="4" w:space="0"/>
              <w:tl2br w:val="nil"/>
            </w:tcBorders>
            <w:shd w:val="clear" w:color="auto" w:fill="FFFFFF"/>
            <w:noWrap/>
            <w:vAlign w:val="center"/>
          </w:tcPr>
          <w:p w14:paraId="52A0C4B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评价量</w:t>
            </w:r>
          </w:p>
        </w:tc>
        <w:tc>
          <w:tcPr>
            <w:tcW w:w="1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7E757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标准要求</w:t>
            </w:r>
          </w:p>
        </w:tc>
        <w:tc>
          <w:tcPr>
            <w:tcW w:w="1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3D677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是否有无风区/旋涡区</w:t>
            </w:r>
          </w:p>
        </w:tc>
        <w:tc>
          <w:tcPr>
            <w:tcW w:w="1016" w:type="pct"/>
            <w:tcBorders>
              <w:top w:val="single" w:color="000000" w:sz="4" w:space="0"/>
              <w:left w:val="single" w:color="000000" w:sz="4" w:space="0"/>
              <w:bottom w:val="single" w:color="000000" w:sz="4" w:space="0"/>
              <w:right w:val="nil"/>
            </w:tcBorders>
            <w:shd w:val="clear" w:color="auto" w:fill="FFFFFF"/>
            <w:noWrap/>
            <w:vAlign w:val="center"/>
          </w:tcPr>
          <w:p w14:paraId="3BF1D00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达标判断</w:t>
            </w:r>
          </w:p>
        </w:tc>
      </w:tr>
      <w:tr w14:paraId="46A6D527">
        <w:tblPrEx>
          <w:tblCellMar>
            <w:top w:w="0" w:type="dxa"/>
            <w:left w:w="108" w:type="dxa"/>
            <w:bottom w:w="0" w:type="dxa"/>
            <w:right w:w="108" w:type="dxa"/>
          </w:tblCellMar>
        </w:tblPrEx>
        <w:trPr>
          <w:trHeight w:val="270" w:hRule="atLeast"/>
        </w:trPr>
        <w:tc>
          <w:tcPr>
            <w:tcW w:w="1101" w:type="pct"/>
            <w:tcBorders>
              <w:top w:val="single" w:color="000000" w:sz="4" w:space="0"/>
              <w:left w:val="nil"/>
              <w:bottom w:val="single" w:color="000000" w:sz="4" w:space="0"/>
              <w:right w:val="single" w:color="000000" w:sz="4" w:space="0"/>
            </w:tcBorders>
            <w:shd w:val="clear" w:color="auto" w:fill="FFFFFF"/>
            <w:noWrap/>
            <w:vAlign w:val="center"/>
          </w:tcPr>
          <w:p w14:paraId="38C2BDF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无风区</w:t>
            </w:r>
          </w:p>
        </w:tc>
        <w:tc>
          <w:tcPr>
            <w:tcW w:w="1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BC9A1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无风区面积为0</w:t>
            </w:r>
          </w:p>
        </w:tc>
        <w:tc>
          <w:tcPr>
            <w:tcW w:w="1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B7E2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是</w:t>
            </w:r>
          </w:p>
        </w:tc>
        <w:tc>
          <w:tcPr>
            <w:tcW w:w="1016" w:type="pct"/>
            <w:tcBorders>
              <w:top w:val="single" w:color="000000" w:sz="4" w:space="0"/>
              <w:left w:val="single" w:color="000000" w:sz="4" w:space="0"/>
              <w:bottom w:val="single" w:color="000000" w:sz="4" w:space="0"/>
              <w:right w:val="nil"/>
            </w:tcBorders>
            <w:shd w:val="clear" w:color="auto" w:fill="FFFFFF"/>
            <w:noWrap/>
            <w:vAlign w:val="center"/>
          </w:tcPr>
          <w:p w14:paraId="26484B9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bookmarkStart w:id="53" w:name="是否有无风区"/>
            <w:r>
              <w:rPr>
                <w:rFonts w:hint="eastAsia" w:ascii="宋体" w:hAnsi="宋体" w:eastAsia="宋体" w:cs="Courier New"/>
                <w:b w:val="0"/>
                <w:color w:val="000000"/>
                <w:kern w:val="0"/>
                <w:sz w:val="21"/>
                <w:szCs w:val="24"/>
                <w:lang w:val="en-US" w:eastAsia="zh-CN" w:bidi="ar-SA"/>
              </w:rPr>
              <w:t>否</w:t>
            </w:r>
            <w:bookmarkEnd w:id="53"/>
          </w:p>
        </w:tc>
      </w:tr>
      <w:tr w14:paraId="1C41ED29">
        <w:tblPrEx>
          <w:tblCellMar>
            <w:top w:w="0" w:type="dxa"/>
            <w:left w:w="108" w:type="dxa"/>
            <w:bottom w:w="0" w:type="dxa"/>
            <w:right w:w="108" w:type="dxa"/>
          </w:tblCellMar>
        </w:tblPrEx>
        <w:trPr>
          <w:trHeight w:val="270" w:hRule="atLeast"/>
        </w:trPr>
        <w:tc>
          <w:tcPr>
            <w:tcW w:w="1101" w:type="pct"/>
            <w:tcBorders>
              <w:top w:val="single" w:color="000000" w:sz="4" w:space="0"/>
              <w:left w:val="nil"/>
              <w:bottom w:val="single" w:color="000000" w:sz="4" w:space="0"/>
              <w:right w:val="single" w:color="000000" w:sz="4" w:space="0"/>
            </w:tcBorders>
            <w:shd w:val="clear" w:color="auto" w:fill="FFFFFF"/>
            <w:noWrap/>
            <w:vAlign w:val="center"/>
          </w:tcPr>
          <w:p w14:paraId="0231686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旋涡区</w:t>
            </w:r>
          </w:p>
        </w:tc>
        <w:tc>
          <w:tcPr>
            <w:tcW w:w="12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4D519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旋涡区面积为0</w:t>
            </w:r>
          </w:p>
        </w:tc>
        <w:tc>
          <w:tcPr>
            <w:tcW w:w="1610"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86EC0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bookmarkStart w:id="54" w:name="是否有旋涡区"/>
            <w:r>
              <w:rPr>
                <w:rFonts w:hint="eastAsia" w:ascii="宋体" w:hAnsi="宋体" w:eastAsia="宋体" w:cs="Courier New"/>
                <w:b w:val="0"/>
                <w:color w:val="000000"/>
                <w:kern w:val="0"/>
                <w:sz w:val="21"/>
                <w:szCs w:val="24"/>
                <w:lang w:val="en-US" w:eastAsia="zh-CN" w:bidi="ar-SA"/>
              </w:rPr>
              <w:t>否</w:t>
            </w:r>
            <w:bookmarkEnd w:id="54"/>
          </w:p>
        </w:tc>
        <w:tc>
          <w:tcPr>
            <w:tcW w:w="1016" w:type="pct"/>
            <w:tcBorders>
              <w:top w:val="single" w:color="000000" w:sz="4" w:space="0"/>
              <w:left w:val="single" w:color="000000" w:sz="4" w:space="0"/>
              <w:bottom w:val="single" w:color="000000" w:sz="4" w:space="0"/>
              <w:right w:val="nil"/>
            </w:tcBorders>
            <w:shd w:val="clear" w:color="auto" w:fill="FFFFFF"/>
            <w:noWrap/>
            <w:vAlign w:val="center"/>
          </w:tcPr>
          <w:p w14:paraId="20C07AB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bookmarkStart w:id="55" w:name="旋涡区达标判断"/>
            <w:r>
              <w:rPr>
                <w:rFonts w:hint="eastAsia" w:ascii="宋体" w:hAnsi="宋体" w:eastAsia="宋体" w:cs="Courier New"/>
                <w:b w:val="0"/>
                <w:color w:val="000000"/>
                <w:kern w:val="0"/>
                <w:sz w:val="21"/>
                <w:szCs w:val="24"/>
                <w:lang w:val="en-US" w:eastAsia="zh-CN" w:bidi="ar-SA"/>
              </w:rPr>
              <w:t>是</w:t>
            </w:r>
            <w:bookmarkEnd w:id="55"/>
          </w:p>
        </w:tc>
      </w:tr>
    </w:tbl>
    <w:p w14:paraId="1BA41D3B">
      <w:pPr>
        <w:tabs>
          <w:tab w:val="left" w:pos="3472"/>
          <w:tab w:val="clear" w:pos="377"/>
        </w:tabs>
        <w:spacing w:line="360" w:lineRule="auto"/>
        <w:ind w:firstLine="472" w:firstLineChars="200"/>
        <w:rPr>
          <w:rFonts w:hint="eastAsia" w:ascii="宋体" w:hAnsi="宋体" w:cs="Arial"/>
          <w:b/>
          <w:bCs/>
          <w:kern w:val="2"/>
          <w:sz w:val="24"/>
          <w:szCs w:val="21"/>
          <w:lang w:val="en-US" w:eastAsia="zh-CN" w:bidi="ar-SA"/>
        </w:rPr>
      </w:pPr>
      <w:bookmarkStart w:id="56" w:name="heading_31"/>
      <w:r>
        <w:rPr>
          <w:rFonts w:hint="eastAsia"/>
          <w:spacing w:val="-2"/>
          <w:sz w:val="24"/>
          <w:lang w:val="en-US" w:eastAsia="zh-CN"/>
        </w:rPr>
        <w:t>通过以上模拟分析，</w:t>
      </w:r>
      <w:r>
        <w:rPr>
          <w:rFonts w:hint="eastAsia"/>
          <w:spacing w:val="-2"/>
          <w:sz w:val="24"/>
        </w:rPr>
        <w:t>冬季工况满足规范</w:t>
      </w:r>
      <w:r>
        <w:rPr>
          <w:rFonts w:hint="eastAsia"/>
          <w:spacing w:val="-2"/>
          <w:sz w:val="24"/>
          <w:lang w:val="en-US" w:eastAsia="zh-CN"/>
        </w:rPr>
        <w:t>要求，夏季工况出现无风区，本项目室外风环境基本达标</w:t>
      </w:r>
      <w:r>
        <w:rPr>
          <w:rFonts w:hint="eastAsia"/>
          <w:spacing w:val="-2"/>
          <w:sz w:val="24"/>
        </w:rPr>
        <w:t>。</w:t>
      </w:r>
    </w:p>
    <w:p w14:paraId="4361139E">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57" w:name="_Toc8867"/>
      <w:r>
        <w:rPr>
          <w:rFonts w:hint="eastAsia" w:ascii="宋体" w:hAnsi="宋体" w:cs="Arial"/>
          <w:b/>
          <w:bCs/>
          <w:kern w:val="2"/>
          <w:sz w:val="24"/>
          <w:szCs w:val="21"/>
          <w:lang w:val="en-US" w:eastAsia="zh-CN" w:bidi="ar-SA"/>
        </w:rPr>
        <w:t>通风问题分析</w:t>
      </w:r>
      <w:bookmarkEnd w:id="56"/>
      <w:bookmarkEnd w:id="57"/>
    </w:p>
    <w:p w14:paraId="4046C3FB">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cs="Times New Roman"/>
          <w:spacing w:val="-2"/>
          <w:kern w:val="2"/>
          <w:sz w:val="24"/>
          <w:lang w:val="en-US" w:eastAsia="zh-CN"/>
        </w:rPr>
        <w:t>室外整体风环境基本达标，但存在计算域-1.5米高度水平面黑色等值线内的人活动区域风速小于0.2m/s的问题，因此未满足绿标要求。主要原因是人活动区域设置不合理，需调整区域范围优化人行区风速分布。</w:t>
      </w:r>
    </w:p>
    <w:p w14:paraId="0DCEC09F">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58" w:name="_Toc31073"/>
      <w:bookmarkStart w:id="59" w:name="heading_32"/>
      <w:r>
        <w:rPr>
          <w:rFonts w:hint="eastAsia" w:ascii="宋体" w:hAnsi="宋体" w:eastAsia="宋体" w:cs="Arial"/>
          <w:b/>
          <w:bCs/>
          <w:iCs/>
          <w:color w:val="000000"/>
          <w:kern w:val="2"/>
          <w:sz w:val="28"/>
          <w:szCs w:val="24"/>
          <w:lang w:val="en-US" w:eastAsia="zh-CN" w:bidi="ar-SA"/>
        </w:rPr>
        <w:t>热舒适度分析</w:t>
      </w:r>
      <w:bookmarkEnd w:id="58"/>
      <w:bookmarkEnd w:id="59"/>
    </w:p>
    <w:p w14:paraId="5A7130F3">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bookmarkStart w:id="60" w:name="_Hlk36153165"/>
      <w:r>
        <w:rPr>
          <w:rFonts w:hint="eastAsia" w:ascii="宋体" w:hAnsi="宋体" w:eastAsia="宋体" w:cs="Times New Roman"/>
          <w:spacing w:val="-2"/>
          <w:kern w:val="2"/>
          <w:sz w:val="24"/>
          <w:lang w:val="en-US" w:eastAsia="zh-CN"/>
        </w:rPr>
        <w:t>《民用建筑供暖通风与空气调节设计规范》以及绿色建筑认证都明确要求进行热舒适度分析与验证。室内适应性舒适温度时间比例公式如下：</w:t>
      </w:r>
    </w:p>
    <w:p w14:paraId="703B4172">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室内适应性舒适温度时间比例</w:t>
      </w:r>
      <w:bookmarkEnd w:id="60"/>
      <w:r>
        <w:rPr>
          <w:rFonts w:hint="eastAsia" w:ascii="宋体" w:hAnsi="宋体" w:eastAsia="宋体" w:cs="Times New Roman"/>
          <w:spacing w:val="-2"/>
          <w:kern w:val="2"/>
          <w:sz w:val="24"/>
          <w:lang w:val="en-US" w:eastAsia="zh-CN"/>
        </w:rPr>
        <w:t>=</w:t>
      </w:r>
      <m:oMath>
        <m:f>
          <m:fPr>
            <m:ctrlPr>
              <w:rPr>
                <w:rFonts w:hint="eastAsia" w:ascii="Cambria Math" w:hAnsi="Cambria Math" w:eastAsia="宋体" w:cs="Times New Roman"/>
                <w:spacing w:val="-2"/>
                <w:kern w:val="2"/>
                <w:sz w:val="24"/>
                <w:lang w:val="en-US" w:eastAsia="zh-CN"/>
              </w:rPr>
            </m:ctrlPr>
          </m:fPr>
          <m:num>
            <m:r>
              <m:rPr>
                <m:sty m:val="p"/>
              </m:rPr>
              <w:rPr>
                <w:rFonts w:hint="eastAsia" w:ascii="Cambria Math" w:hAnsi="Cambria Math" w:eastAsia="宋体" w:cs="Times New Roman"/>
                <w:spacing w:val="-2"/>
                <w:kern w:val="2"/>
                <w:sz w:val="24"/>
                <w:lang w:val="en-US" w:eastAsia="zh-CN"/>
              </w:rPr>
              <m:t>室内温度在热舒适区间的时间</m:t>
            </m:r>
            <m:ctrlPr>
              <w:rPr>
                <w:rFonts w:hint="eastAsia" w:ascii="Cambria Math" w:hAnsi="Cambria Math" w:eastAsia="宋体" w:cs="Times New Roman"/>
                <w:spacing w:val="-2"/>
                <w:kern w:val="2"/>
                <w:sz w:val="24"/>
                <w:lang w:val="en-US" w:eastAsia="zh-CN"/>
              </w:rPr>
            </m:ctrlPr>
          </m:num>
          <m:den>
            <m:r>
              <m:rPr>
                <m:sty m:val="p"/>
              </m:rPr>
              <w:rPr>
                <w:rFonts w:hint="eastAsia" w:ascii="Cambria Math" w:hAnsi="Cambria Math" w:eastAsia="宋体" w:cs="Times New Roman"/>
                <w:spacing w:val="-2"/>
                <w:kern w:val="2"/>
                <w:sz w:val="24"/>
                <w:lang w:val="en-US" w:eastAsia="zh-CN"/>
              </w:rPr>
              <m:t>建筑全年运行小时数</m:t>
            </m:r>
            <m:ctrlPr>
              <w:rPr>
                <w:rFonts w:hint="eastAsia" w:ascii="Cambria Math" w:hAnsi="Cambria Math" w:eastAsia="宋体" w:cs="Times New Roman"/>
                <w:spacing w:val="-2"/>
                <w:kern w:val="2"/>
                <w:sz w:val="24"/>
                <w:lang w:val="en-US" w:eastAsia="zh-CN"/>
              </w:rPr>
            </m:ctrlPr>
          </m:den>
        </m:f>
      </m:oMath>
      <w:r>
        <w:rPr>
          <w:rFonts w:hint="eastAsia" w:ascii="宋体" w:hAnsi="宋体" w:eastAsia="宋体" w:cs="Times New Roman"/>
          <w:spacing w:val="-2"/>
          <w:kern w:val="2"/>
          <w:sz w:val="24"/>
          <w:lang w:val="en-US" w:eastAsia="zh-CN"/>
        </w:rPr>
        <w:t xml:space="preserve">          （公式3）</w:t>
      </w:r>
    </w:p>
    <w:p w14:paraId="67446314">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61" w:name="heading_33"/>
      <w:bookmarkStart w:id="62" w:name="_Toc26709"/>
      <w:r>
        <w:rPr>
          <w:rFonts w:hint="eastAsia" w:ascii="宋体" w:hAnsi="宋体" w:cs="Arial"/>
          <w:b/>
          <w:bCs/>
          <w:kern w:val="2"/>
          <w:sz w:val="24"/>
          <w:szCs w:val="21"/>
          <w:lang w:val="en-US" w:eastAsia="zh-CN" w:bidi="ar-SA"/>
        </w:rPr>
        <w:t>参数设置</w:t>
      </w:r>
      <w:bookmarkEnd w:id="61"/>
      <w:bookmarkEnd w:id="62"/>
    </w:p>
    <w:p w14:paraId="4418C55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本项目取《中国建筑热环境分析专用气象数据集》中</w:t>
      </w:r>
      <w:r>
        <w:rPr>
          <w:rFonts w:hint="eastAsia" w:ascii="宋体" w:hAnsi="宋体" w:cs="Times New Roman"/>
          <w:spacing w:val="-2"/>
          <w:kern w:val="2"/>
          <w:sz w:val="24"/>
          <w:lang w:val="en-US" w:eastAsia="zh-CN"/>
        </w:rPr>
        <w:t>安庆</w:t>
      </w:r>
      <w:r>
        <w:rPr>
          <w:rFonts w:hint="eastAsia" w:ascii="宋体" w:hAnsi="宋体" w:eastAsia="宋体" w:cs="Times New Roman"/>
          <w:spacing w:val="-2"/>
          <w:kern w:val="2"/>
          <w:sz w:val="24"/>
          <w:lang w:val="en-US" w:eastAsia="zh-CN"/>
        </w:rPr>
        <w:t>的气象数据。</w:t>
      </w:r>
      <w:bookmarkStart w:id="63" w:name="月平均温度图"/>
      <w:bookmarkEnd w:id="63"/>
    </w:p>
    <w:p w14:paraId="5DF75876">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drawing>
          <wp:inline distT="0" distB="0" distL="0" distR="0">
            <wp:extent cx="5114925" cy="26860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9"/>
                    <a:stretch>
                      <a:fillRect/>
                    </a:stretch>
                  </pic:blipFill>
                  <pic:spPr>
                    <a:xfrm>
                      <a:off x="0" y="0"/>
                      <a:ext cx="5115462" cy="2686332"/>
                    </a:xfrm>
                    <a:prstGeom prst="rect">
                      <a:avLst/>
                    </a:prstGeom>
                  </pic:spPr>
                </pic:pic>
              </a:graphicData>
            </a:graphic>
          </wp:inline>
        </w:drawing>
      </w:r>
    </w:p>
    <w:p w14:paraId="54026AF9">
      <w:pPr>
        <w:kinsoku w:val="0"/>
        <w:spacing w:line="400" w:lineRule="atLeast"/>
        <w:ind w:firstLine="0" w:firstLineChars="0"/>
        <w:jc w:val="center"/>
        <w:rPr>
          <w:rFonts w:hint="eastAsia" w:ascii="宋体" w:hAnsi="宋体" w:eastAsia="宋体" w:cs="Times New Roman"/>
          <w:spacing w:val="-2"/>
          <w:kern w:val="2"/>
          <w:sz w:val="21"/>
          <w:szCs w:val="21"/>
          <w:lang w:val="en-US" w:eastAsia="zh-CN"/>
        </w:rPr>
      </w:pPr>
      <w:r>
        <w:rPr>
          <w:rFonts w:hint="eastAsia" w:ascii="宋体" w:hAnsi="宋体" w:eastAsia="宋体" w:cs="Times New Roman"/>
          <w:kern w:val="2"/>
          <w:sz w:val="21"/>
          <w:szCs w:val="21"/>
          <w:lang w:val="en-US" w:eastAsia="zh-CN" w:bidi="ar-SA"/>
        </w:rPr>
        <w:t>图1-</w:t>
      </w:r>
      <w:r>
        <w:rPr>
          <w:rFonts w:hint="eastAsia" w:ascii="宋体" w:hAnsi="宋体" w:cs="Times New Roman"/>
          <w:kern w:val="2"/>
          <w:sz w:val="21"/>
          <w:szCs w:val="21"/>
          <w:lang w:val="en-US" w:eastAsia="zh-CN" w:bidi="ar-SA"/>
        </w:rPr>
        <w:t>17</w:t>
      </w:r>
      <w:r>
        <w:rPr>
          <w:rFonts w:hint="eastAsia" w:ascii="宋体" w:hAnsi="宋体" w:eastAsia="宋体" w:cs="Times New Roman"/>
          <w:kern w:val="2"/>
          <w:sz w:val="21"/>
          <w:szCs w:val="21"/>
          <w:lang w:val="en-US" w:eastAsia="zh-CN" w:bidi="ar-SA"/>
        </w:rPr>
        <w:t xml:space="preserve">  室外月平均温度</w:t>
      </w:r>
    </w:p>
    <w:p w14:paraId="4D911168">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参评时间段设置为</w:t>
      </w:r>
      <w:bookmarkStart w:id="64" w:name="参评时间段"/>
      <w:r>
        <w:rPr>
          <w:rFonts w:hint="eastAsia" w:ascii="宋体" w:hAnsi="宋体" w:eastAsia="宋体" w:cs="Times New Roman"/>
          <w:spacing w:val="-2"/>
          <w:kern w:val="2"/>
          <w:sz w:val="24"/>
          <w:lang w:val="en-US" w:eastAsia="zh-CN"/>
        </w:rPr>
        <w:t>1月1日至12月31日</w:t>
      </w:r>
      <w:bookmarkEnd w:id="64"/>
      <w:r>
        <w:rPr>
          <w:rFonts w:hint="eastAsia" w:ascii="宋体" w:hAnsi="宋体" w:eastAsia="宋体" w:cs="Times New Roman"/>
          <w:spacing w:val="-2"/>
          <w:kern w:val="2"/>
          <w:sz w:val="24"/>
          <w:lang w:val="en-US" w:eastAsia="zh-CN"/>
        </w:rPr>
        <w:t>。</w:t>
      </w:r>
    </w:p>
    <w:p w14:paraId="6D4A8CAF">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65" w:name="heading_34"/>
      <w:bookmarkStart w:id="66" w:name="_Toc1764"/>
      <w:r>
        <w:rPr>
          <w:rFonts w:hint="eastAsia" w:ascii="宋体" w:hAnsi="宋体" w:cs="Arial"/>
          <w:b/>
          <w:bCs/>
          <w:kern w:val="2"/>
          <w:sz w:val="24"/>
          <w:szCs w:val="21"/>
          <w:lang w:val="en-US" w:eastAsia="zh-CN" w:bidi="ar-SA"/>
        </w:rPr>
        <w:t>热舒适模拟结果</w:t>
      </w:r>
      <w:bookmarkEnd w:id="65"/>
      <w:bookmarkEnd w:id="66"/>
    </w:p>
    <w:p w14:paraId="7757BB6B">
      <w:pPr>
        <w:widowControl w:val="0"/>
        <w:tabs>
          <w:tab w:val="left" w:pos="3472"/>
          <w:tab w:val="clear" w:pos="377"/>
        </w:tabs>
        <w:spacing w:line="400" w:lineRule="exact"/>
        <w:ind w:firstLine="472" w:firstLineChars="200"/>
        <w:rPr>
          <w:rFonts w:hint="eastAsia"/>
          <w:lang w:val="en-US" w:eastAsia="zh-CN"/>
        </w:rPr>
      </w:pPr>
      <w:r>
        <w:rPr>
          <w:rFonts w:hint="eastAsia" w:ascii="宋体" w:hAnsi="宋体" w:cs="Times New Roman"/>
          <w:spacing w:val="-2"/>
          <w:kern w:val="2"/>
          <w:sz w:val="24"/>
          <w:lang w:val="en-US" w:eastAsia="zh-CN"/>
        </w:rPr>
        <w:t>经软件计算，房间满足</w:t>
      </w:r>
      <w:r>
        <w:rPr>
          <w:rFonts w:hint="default"/>
          <w:lang w:val="en-US" w:eastAsia="zh-CN"/>
        </w:rPr>
        <w:t>热舒适区间的时间比例</w:t>
      </w:r>
      <w:r>
        <w:rPr>
          <w:rFonts w:hint="eastAsia"/>
          <w:lang w:val="en-US" w:eastAsia="zh-CN"/>
        </w:rPr>
        <w:t>如表所示。</w:t>
      </w:r>
    </w:p>
    <w:p w14:paraId="4665AE8B">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表1-12  室内适应性热舒适温度达标比例统计</w:t>
      </w:r>
    </w:p>
    <w:tbl>
      <w:tblPr>
        <w:tblStyle w:val="22"/>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730"/>
        <w:gridCol w:w="2109"/>
        <w:gridCol w:w="1473"/>
        <w:gridCol w:w="1140"/>
        <w:gridCol w:w="3549"/>
      </w:tblGrid>
      <w:tr w14:paraId="51B87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406" w:type="pct"/>
            <w:tcBorders>
              <w:top w:val="single" w:color="000000" w:sz="4" w:space="0"/>
              <w:left w:val="nil"/>
              <w:bottom w:val="single" w:color="000000" w:sz="4" w:space="0"/>
              <w:right w:val="single" w:color="000000" w:sz="4" w:space="0"/>
              <w:tl2br w:val="nil"/>
            </w:tcBorders>
            <w:shd w:val="clear" w:color="auto" w:fill="FFFFFF"/>
            <w:vAlign w:val="center"/>
          </w:tcPr>
          <w:p w14:paraId="0EC085C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层号</w:t>
            </w: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590617B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房间编号</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43502E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房间名称</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E2B2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面积(㎡)</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44CE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满足热舒适区间的时间比例(%)</w:t>
            </w:r>
          </w:p>
        </w:tc>
      </w:tr>
      <w:tr w14:paraId="676F3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restart"/>
            <w:tcBorders>
              <w:top w:val="single" w:color="000000" w:sz="4" w:space="0"/>
              <w:left w:val="nil"/>
              <w:bottom w:val="single" w:color="000000" w:sz="4" w:space="0"/>
              <w:right w:val="single" w:color="000000" w:sz="4" w:space="0"/>
            </w:tcBorders>
            <w:shd w:val="clear" w:color="auto" w:fill="FFFFFF"/>
            <w:vAlign w:val="center"/>
          </w:tcPr>
          <w:p w14:paraId="1AF6FC7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1层</w:t>
            </w: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0167C1F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1001</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65AC319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48073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137.8</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6EED3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50.89</w:t>
            </w:r>
          </w:p>
        </w:tc>
      </w:tr>
      <w:tr w14:paraId="492F1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710DC12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2E520C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1002</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95631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668B2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6A6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52.83</w:t>
            </w:r>
          </w:p>
        </w:tc>
      </w:tr>
      <w:tr w14:paraId="4C7E2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4BB871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79368AC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1003</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39731C6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4AFEF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D0BCC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52.53</w:t>
            </w:r>
          </w:p>
        </w:tc>
      </w:tr>
      <w:tr w14:paraId="7C1EB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523911E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4FA64C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1004</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34E8C54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6547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39B3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50.18</w:t>
            </w:r>
          </w:p>
        </w:tc>
      </w:tr>
      <w:tr w14:paraId="25417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38B330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0C5324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1005</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4B577AE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A1DB3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70.0</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81190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51.88</w:t>
            </w:r>
          </w:p>
        </w:tc>
      </w:tr>
      <w:tr w14:paraId="01636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69CB5B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7316D80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1006</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12B5C4E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864BF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1E69B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52.44</w:t>
            </w:r>
          </w:p>
        </w:tc>
      </w:tr>
      <w:tr w14:paraId="4ADE5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5F0A9F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0ABCB49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1007</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3309D34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211BB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1FAED7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49.46</w:t>
            </w:r>
          </w:p>
        </w:tc>
      </w:tr>
      <w:tr w14:paraId="4FE77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3F672CA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2A2A2D7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1008</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5334366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14E41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A36A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49.41</w:t>
            </w:r>
          </w:p>
        </w:tc>
      </w:tr>
      <w:tr w14:paraId="15977C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F94F09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5A9DD6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1009</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577C53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ECD9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D88DF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50.13</w:t>
            </w:r>
          </w:p>
        </w:tc>
      </w:tr>
      <w:tr w14:paraId="729A1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52A14FC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5D29D1C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1010</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6CD07E7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CDFFC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37.8</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6C2F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35.54</w:t>
            </w:r>
          </w:p>
        </w:tc>
      </w:tr>
      <w:tr w14:paraId="7E223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260B55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26FFBC0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1011</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5EE6CEF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87C8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37.8</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8061A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35.25</w:t>
            </w:r>
          </w:p>
        </w:tc>
      </w:tr>
      <w:tr w14:paraId="2A6B0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3716DCB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143C9AE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1012</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09FD2B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0C821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24.0</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F51F2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35.13</w:t>
            </w:r>
          </w:p>
        </w:tc>
      </w:tr>
      <w:tr w14:paraId="669AE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8D7A56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61DD25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1013</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44C1F0B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管理用房</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C4B8A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21.6</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8181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51.82</w:t>
            </w:r>
          </w:p>
        </w:tc>
      </w:tr>
      <w:tr w14:paraId="4494D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5DA25E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6FB513D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1016</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58797C8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4B8BF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CD21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40.11</w:t>
            </w:r>
          </w:p>
        </w:tc>
      </w:tr>
      <w:tr w14:paraId="762DA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E65F29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769175F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1017</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1E4C69F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739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EE7E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40.90</w:t>
            </w:r>
          </w:p>
        </w:tc>
      </w:tr>
      <w:tr w14:paraId="3B9F8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AABB0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2751428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1027</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2DEB77D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B54EE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7.4</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EB46F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36.55</w:t>
            </w:r>
          </w:p>
        </w:tc>
      </w:tr>
      <w:tr w14:paraId="39537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7A1C3B9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196CDB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1028</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5F4380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44081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21F9A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36.54</w:t>
            </w:r>
          </w:p>
        </w:tc>
      </w:tr>
      <w:tr w14:paraId="3CA42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29F4E35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6AEC32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1029</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1F47158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FB37C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2FF38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37.17</w:t>
            </w:r>
          </w:p>
        </w:tc>
      </w:tr>
      <w:tr w14:paraId="7249E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restart"/>
            <w:tcBorders>
              <w:top w:val="single" w:color="000000" w:sz="4" w:space="0"/>
              <w:left w:val="nil"/>
              <w:bottom w:val="single" w:color="000000" w:sz="4" w:space="0"/>
              <w:right w:val="single" w:color="000000" w:sz="4" w:space="0"/>
            </w:tcBorders>
            <w:shd w:val="clear" w:color="auto" w:fill="FFFFFF"/>
            <w:vAlign w:val="center"/>
          </w:tcPr>
          <w:p w14:paraId="7884A25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2层</w:t>
            </w: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33C1B32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2001</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6DBDBCB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F3AE5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70.5</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5B93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53.04</w:t>
            </w:r>
          </w:p>
        </w:tc>
      </w:tr>
      <w:tr w14:paraId="03B3C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7950E4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0177D3F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2002</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003E36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20BD6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2CE48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51.58</w:t>
            </w:r>
          </w:p>
        </w:tc>
      </w:tr>
      <w:tr w14:paraId="46DA1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14108A7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02768B0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2003</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44BC903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4FD61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8BF03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53.68</w:t>
            </w:r>
          </w:p>
        </w:tc>
      </w:tr>
      <w:tr w14:paraId="5BF9F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83520B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3568E59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2004</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4245819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3625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15A52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53.94</w:t>
            </w:r>
          </w:p>
        </w:tc>
      </w:tr>
      <w:tr w14:paraId="1BB4D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783D7DC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6A20BBF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2005</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37D2283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55269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4ED5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52.04</w:t>
            </w:r>
          </w:p>
        </w:tc>
      </w:tr>
      <w:tr w14:paraId="62F82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0B8721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524BF17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2006</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265C104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AAC81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05D5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51.12</w:t>
            </w:r>
          </w:p>
        </w:tc>
      </w:tr>
      <w:tr w14:paraId="22D00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5BCC5E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6BFD6B9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2007</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95FD8F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AF6D0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FE026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51.14</w:t>
            </w:r>
          </w:p>
        </w:tc>
      </w:tr>
      <w:tr w14:paraId="0172B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C60E8E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0C6DC8F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2008</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15086C6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7946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EB6F0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53.61</w:t>
            </w:r>
          </w:p>
        </w:tc>
      </w:tr>
      <w:tr w14:paraId="05547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126C41B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2C4393E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2009</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C5E06F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95B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9559D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53.25</w:t>
            </w:r>
          </w:p>
        </w:tc>
      </w:tr>
      <w:tr w14:paraId="4E664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2E225C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36E9AE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2010</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F6D354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000F3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590D5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51.60</w:t>
            </w:r>
          </w:p>
        </w:tc>
      </w:tr>
      <w:tr w14:paraId="2486F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285DF5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74F5CB1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2011</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696BA29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2068F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37.8</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6D3B3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34.89</w:t>
            </w:r>
          </w:p>
        </w:tc>
      </w:tr>
      <w:tr w14:paraId="6A43B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68B10D7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0F326DD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2012</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3DB664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47524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37.8</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0E80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34.89</w:t>
            </w:r>
          </w:p>
        </w:tc>
      </w:tr>
      <w:tr w14:paraId="00B16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1725844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46185B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2013</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23CB1F0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6AE61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23.8</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68A5F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34.46</w:t>
            </w:r>
          </w:p>
        </w:tc>
      </w:tr>
      <w:tr w14:paraId="3120F3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2EF704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5B8E517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2014</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1B6D3F3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管理用房</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9C79A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21.6</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3CCF8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52.35</w:t>
            </w:r>
          </w:p>
        </w:tc>
      </w:tr>
      <w:tr w14:paraId="48714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30C4C0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2D18F9B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2015</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2AA989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54B6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19.9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240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34.35</w:t>
            </w:r>
          </w:p>
        </w:tc>
      </w:tr>
      <w:tr w14:paraId="5CF44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5D87645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30F178A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2017</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9271DE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6BBB7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BA86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41.46</w:t>
            </w:r>
          </w:p>
        </w:tc>
      </w:tr>
      <w:tr w14:paraId="74605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1AD97A3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4A20665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2018</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4E7515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7D5AE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E7716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40.29</w:t>
            </w:r>
          </w:p>
        </w:tc>
      </w:tr>
      <w:tr w14:paraId="6B642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450B88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1E73476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2023</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669653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B469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98B10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35.15</w:t>
            </w:r>
          </w:p>
        </w:tc>
      </w:tr>
      <w:tr w14:paraId="2CC60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F357EA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6358316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2026</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5D05481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5872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9.1</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D53DE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34.92</w:t>
            </w:r>
          </w:p>
        </w:tc>
      </w:tr>
      <w:tr w14:paraId="0DC58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2C4A54E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73CE22D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2028</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367D49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676E7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7.4</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5220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37.08</w:t>
            </w:r>
          </w:p>
        </w:tc>
      </w:tr>
      <w:tr w14:paraId="02172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2835FCA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5EC363C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2029</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D860E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E22E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4346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36.67</w:t>
            </w:r>
          </w:p>
        </w:tc>
      </w:tr>
      <w:tr w14:paraId="07EFB6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22F4A08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2374B99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2030</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38F641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B645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C130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35.81</w:t>
            </w:r>
          </w:p>
        </w:tc>
      </w:tr>
      <w:tr w14:paraId="1F9723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restart"/>
            <w:tcBorders>
              <w:top w:val="single" w:color="000000" w:sz="4" w:space="0"/>
              <w:left w:val="nil"/>
              <w:bottom w:val="single" w:color="000000" w:sz="4" w:space="0"/>
              <w:right w:val="single" w:color="000000" w:sz="4" w:space="0"/>
            </w:tcBorders>
            <w:shd w:val="clear" w:color="auto" w:fill="FFFFFF"/>
            <w:vAlign w:val="center"/>
          </w:tcPr>
          <w:p w14:paraId="6227AB2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3层</w:t>
            </w: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4EF9B92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3001</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94A06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27A12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70.5</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E10BB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53.23</w:t>
            </w:r>
          </w:p>
        </w:tc>
      </w:tr>
      <w:tr w14:paraId="1BC70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14B8F20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67E76A5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3002</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31E9920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E346D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132C8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53.84</w:t>
            </w:r>
          </w:p>
        </w:tc>
      </w:tr>
      <w:tr w14:paraId="35AD9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6679AD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3889E11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3003</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7FE735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C949B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2547C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54.01</w:t>
            </w:r>
          </w:p>
        </w:tc>
      </w:tr>
      <w:tr w14:paraId="5DA39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1DC2FDB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46A2D58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3004</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6538F9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F9592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DCA05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51.85</w:t>
            </w:r>
          </w:p>
        </w:tc>
      </w:tr>
      <w:tr w14:paraId="042BA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B35893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548681F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3005</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6814D6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35934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69.1</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4E941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50.90</w:t>
            </w:r>
          </w:p>
        </w:tc>
      </w:tr>
      <w:tr w14:paraId="28132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EB7698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632E3C1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3006</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1AEE157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9A59E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9FC4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51.94</w:t>
            </w:r>
          </w:p>
        </w:tc>
      </w:tr>
      <w:tr w14:paraId="24045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71DBE8E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4E7E1A8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3007</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449C149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7F576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FAEB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51.59</w:t>
            </w:r>
          </w:p>
        </w:tc>
      </w:tr>
      <w:tr w14:paraId="6D48F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EFB019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7A463C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3008</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526FB9B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A2E7E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DF95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51.07</w:t>
            </w:r>
          </w:p>
        </w:tc>
      </w:tr>
      <w:tr w14:paraId="08A67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102EF0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720194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3009</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611A11A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001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D92E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53.61</w:t>
            </w:r>
          </w:p>
        </w:tc>
      </w:tr>
      <w:tr w14:paraId="58A26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2628260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4BA56AF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3010</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00F804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C1B8E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EADF7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53.46</w:t>
            </w:r>
          </w:p>
        </w:tc>
      </w:tr>
      <w:tr w14:paraId="7225E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2B91D12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208038B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3011</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4EDEE41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C2CAD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37.8</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DE41E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34.84</w:t>
            </w:r>
          </w:p>
        </w:tc>
      </w:tr>
      <w:tr w14:paraId="1E2AB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5DA4286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6B7E582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3012</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3609837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68DC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37.8</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B9D00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34.81</w:t>
            </w:r>
          </w:p>
        </w:tc>
      </w:tr>
      <w:tr w14:paraId="09562C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262E30A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2443A60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3013</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D3F506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A05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23.8</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6B57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34.43</w:t>
            </w:r>
          </w:p>
        </w:tc>
      </w:tr>
      <w:tr w14:paraId="5D09F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3C3903E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42D5A7C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3014</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37A328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管理用房</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9ECAD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21.6</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D0C2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51.95</w:t>
            </w:r>
          </w:p>
        </w:tc>
      </w:tr>
      <w:tr w14:paraId="59A7C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7916EF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3C5BE1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3015</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3AB260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5D863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19.9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3BB23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34.51</w:t>
            </w:r>
          </w:p>
        </w:tc>
      </w:tr>
      <w:tr w14:paraId="1B027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24F5DA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110D255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3017</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1A596F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BAD1A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C72C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40.29</w:t>
            </w:r>
          </w:p>
        </w:tc>
      </w:tr>
      <w:tr w14:paraId="48F4E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629AAC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3A50971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3018</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ADB296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1F81E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0D40A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41.79</w:t>
            </w:r>
          </w:p>
        </w:tc>
      </w:tr>
      <w:tr w14:paraId="79C05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759F8A1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6D88D17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3023</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141144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5BD50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4A899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34.98</w:t>
            </w:r>
          </w:p>
        </w:tc>
      </w:tr>
      <w:tr w14:paraId="5FD89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A4FCC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75FCF00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3026</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3A55EF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16B5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9.1</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121C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34.86</w:t>
            </w:r>
          </w:p>
        </w:tc>
      </w:tr>
      <w:tr w14:paraId="1131B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DD3AE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237312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3028</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919186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4F3E1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7.4</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FE64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37.49</w:t>
            </w:r>
          </w:p>
        </w:tc>
      </w:tr>
      <w:tr w14:paraId="30096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126FE96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04D601F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3029</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41417E7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1BAAB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D3865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35.59</w:t>
            </w:r>
          </w:p>
        </w:tc>
      </w:tr>
      <w:tr w14:paraId="2DC29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722A8CF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13CBB24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3030</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DE0ECC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CCA71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722C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36.64</w:t>
            </w:r>
          </w:p>
        </w:tc>
      </w:tr>
      <w:tr w14:paraId="39D0C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restart"/>
            <w:tcBorders>
              <w:top w:val="single" w:color="000000" w:sz="4" w:space="0"/>
              <w:left w:val="nil"/>
              <w:bottom w:val="single" w:color="000000" w:sz="4" w:space="0"/>
              <w:right w:val="single" w:color="000000" w:sz="4" w:space="0"/>
            </w:tcBorders>
            <w:shd w:val="clear" w:color="auto" w:fill="FFFFFF"/>
            <w:vAlign w:val="center"/>
          </w:tcPr>
          <w:p w14:paraId="77E8A9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4层</w:t>
            </w: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6EE5A7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4001</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4EADBFF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823D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70.5</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2A93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52.21</w:t>
            </w:r>
          </w:p>
        </w:tc>
      </w:tr>
      <w:tr w14:paraId="04EA1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2C0DC3D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51796C2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4002</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5AFB153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F9529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CB584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50.66</w:t>
            </w:r>
          </w:p>
        </w:tc>
      </w:tr>
      <w:tr w14:paraId="223ADF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75C37E6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179CF81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4003</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5929295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0389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24C4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52.87</w:t>
            </w:r>
          </w:p>
        </w:tc>
      </w:tr>
      <w:tr w14:paraId="20C55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1278DF0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0E3BCE3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4004</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EC5C66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07E07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04FB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53.06</w:t>
            </w:r>
          </w:p>
        </w:tc>
      </w:tr>
      <w:tr w14:paraId="63DB4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123D887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018070C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4005</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2D5E2D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D92D7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4613C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50.37</w:t>
            </w:r>
          </w:p>
        </w:tc>
      </w:tr>
      <w:tr w14:paraId="0E08B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82EF2A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1C2F32A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4006</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8FD7B6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811A2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1F52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50.62</w:t>
            </w:r>
          </w:p>
        </w:tc>
      </w:tr>
      <w:tr w14:paraId="469C4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649BDFD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1813EEC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4007</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0572BC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0611D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00E69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49.73</w:t>
            </w:r>
          </w:p>
        </w:tc>
      </w:tr>
      <w:tr w14:paraId="58CD9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1FE756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15B7EBC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4008</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2D486B0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64C3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DB2DE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52.45</w:t>
            </w:r>
          </w:p>
        </w:tc>
      </w:tr>
      <w:tr w14:paraId="1F7723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6C84D1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5272FE1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4009</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C2883F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187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D9AF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49.50</w:t>
            </w:r>
          </w:p>
        </w:tc>
      </w:tr>
      <w:tr w14:paraId="2943E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0DBD8D1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6E9156D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4010</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3F0B474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5D7F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124C8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52.47</w:t>
            </w:r>
          </w:p>
        </w:tc>
      </w:tr>
      <w:tr w14:paraId="520DF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32E8512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36936EF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4011</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4EFC2E4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F041E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37.8</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CE8F8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34.91</w:t>
            </w:r>
          </w:p>
        </w:tc>
      </w:tr>
      <w:tr w14:paraId="7172E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6FC0CA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5F8BCC7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4012</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2FD39D9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085C9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37.8</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1FDB7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34.82</w:t>
            </w:r>
          </w:p>
        </w:tc>
      </w:tr>
      <w:tr w14:paraId="0E3BD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4F429A7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1E3123B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4013</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2E33486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85B15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23.8</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D890C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34.50</w:t>
            </w:r>
          </w:p>
        </w:tc>
      </w:tr>
      <w:tr w14:paraId="48CE3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688DA34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4A7107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4014</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2F3F83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管理用房</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73065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21.6</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3BFFE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50.62</w:t>
            </w:r>
          </w:p>
        </w:tc>
      </w:tr>
      <w:tr w14:paraId="33579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76DA88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58205FC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4015</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F7CA9A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339B2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19.9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5296F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34.46</w:t>
            </w:r>
          </w:p>
        </w:tc>
      </w:tr>
      <w:tr w14:paraId="608C0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1E9B65F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0137717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4017</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558C4AC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B69E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B5300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39.73</w:t>
            </w:r>
          </w:p>
        </w:tc>
      </w:tr>
      <w:tr w14:paraId="0B09A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3AC62CE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1BCCBC0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4018</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77B7EBA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72CE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4E7D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41.27</w:t>
            </w:r>
          </w:p>
        </w:tc>
      </w:tr>
      <w:tr w14:paraId="2511D8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11C7C2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555B06B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4023</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03627D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18AAC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9.9</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67A82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34.92</w:t>
            </w:r>
          </w:p>
        </w:tc>
      </w:tr>
      <w:tr w14:paraId="7C21F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5E3ADB6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3AA4018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4026</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1A964C4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AFE2F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9.1</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A6666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34.87</w:t>
            </w:r>
          </w:p>
        </w:tc>
      </w:tr>
      <w:tr w14:paraId="7B6EE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2CB694C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2B1768F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4028</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317921F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EB8F1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7.4</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96A75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37.05</w:t>
            </w:r>
          </w:p>
        </w:tc>
      </w:tr>
      <w:tr w14:paraId="29FF0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346594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03141BF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4029</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161937A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3BCFC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D3581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36.68</w:t>
            </w:r>
          </w:p>
        </w:tc>
      </w:tr>
      <w:tr w14:paraId="5AC48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vMerge w:val="continue"/>
            <w:tcBorders>
              <w:top w:val="single" w:color="000000" w:sz="4" w:space="0"/>
              <w:left w:val="nil"/>
              <w:bottom w:val="single" w:color="000000" w:sz="4" w:space="0"/>
              <w:right w:val="single" w:color="000000" w:sz="4" w:space="0"/>
            </w:tcBorders>
            <w:shd w:val="clear" w:color="auto" w:fill="FFFFFF"/>
            <w:vAlign w:val="center"/>
          </w:tcPr>
          <w:p w14:paraId="2CB8727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126D3A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4030</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2484E9B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7415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A435E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35.51</w:t>
            </w:r>
          </w:p>
        </w:tc>
      </w:tr>
      <w:tr w14:paraId="735B07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406" w:type="pct"/>
            <w:tcBorders>
              <w:top w:val="single" w:color="000000" w:sz="4" w:space="0"/>
              <w:left w:val="nil"/>
              <w:bottom w:val="single" w:color="000000" w:sz="4" w:space="0"/>
              <w:right w:val="single" w:color="000000" w:sz="4" w:space="0"/>
            </w:tcBorders>
            <w:shd w:val="clear" w:color="auto" w:fill="FFFFFF"/>
            <w:vAlign w:val="center"/>
          </w:tcPr>
          <w:p w14:paraId="4B094CE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5层</w:t>
            </w:r>
          </w:p>
        </w:tc>
        <w:tc>
          <w:tcPr>
            <w:tcW w:w="1171" w:type="pct"/>
            <w:tcBorders>
              <w:top w:val="single" w:color="000000" w:sz="4" w:space="0"/>
              <w:left w:val="single" w:color="000000" w:sz="4" w:space="0"/>
              <w:bottom w:val="single" w:color="000000" w:sz="4" w:space="0"/>
              <w:right w:val="nil"/>
            </w:tcBorders>
            <w:shd w:val="clear" w:color="auto" w:fill="FFFFFF"/>
            <w:vAlign w:val="center"/>
          </w:tcPr>
          <w:p w14:paraId="4AAEFC0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5001</w:t>
            </w:r>
          </w:p>
        </w:tc>
        <w:tc>
          <w:tcPr>
            <w:tcW w:w="818" w:type="pct"/>
            <w:tcBorders>
              <w:top w:val="single" w:color="000000" w:sz="4" w:space="0"/>
              <w:left w:val="nil"/>
              <w:bottom w:val="single" w:color="000000" w:sz="4" w:space="0"/>
              <w:right w:val="single" w:color="000000" w:sz="4" w:space="0"/>
            </w:tcBorders>
            <w:shd w:val="clear" w:color="auto" w:fill="FFFFFF"/>
            <w:vAlign w:val="center"/>
          </w:tcPr>
          <w:p w14:paraId="19C62CB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普通办公室</w:t>
            </w:r>
          </w:p>
        </w:tc>
        <w:tc>
          <w:tcPr>
            <w:tcW w:w="6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53AAA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45.3</w:t>
            </w:r>
          </w:p>
        </w:tc>
        <w:tc>
          <w:tcPr>
            <w:tcW w:w="19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7CD5A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33.95</w:t>
            </w:r>
          </w:p>
        </w:tc>
      </w:tr>
      <w:tr w14:paraId="2674D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28" w:type="pct"/>
            <w:gridSpan w:val="4"/>
            <w:tcBorders>
              <w:top w:val="single" w:color="000000" w:sz="4" w:space="0"/>
              <w:left w:val="nil"/>
              <w:bottom w:val="single" w:color="000000" w:sz="4" w:space="0"/>
              <w:right w:val="single" w:color="000000" w:sz="4" w:space="0"/>
            </w:tcBorders>
            <w:shd w:val="clear" w:color="auto" w:fill="FFFFFF"/>
            <w:vAlign w:val="center"/>
          </w:tcPr>
          <w:p w14:paraId="62CBDE8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建筑满足热舒适区间的时间达标比例(%)</w:t>
            </w:r>
          </w:p>
        </w:tc>
        <w:tc>
          <w:tcPr>
            <w:tcW w:w="1971" w:type="pct"/>
            <w:tcBorders>
              <w:top w:val="single" w:color="000000" w:sz="4" w:space="0"/>
              <w:left w:val="single" w:color="000000" w:sz="4" w:space="0"/>
              <w:bottom w:val="single" w:color="000000" w:sz="4" w:space="0"/>
              <w:right w:val="nil"/>
            </w:tcBorders>
            <w:shd w:val="clear" w:color="auto" w:fill="FFFFFF"/>
            <w:vAlign w:val="center"/>
          </w:tcPr>
          <w:p w14:paraId="323A7F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48.52%</w:t>
            </w:r>
          </w:p>
        </w:tc>
      </w:tr>
    </w:tbl>
    <w:p w14:paraId="7C423309">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本项目室内适应性热舒适温度达标比例为48.52%，整体达标水平偏低</w:t>
      </w:r>
      <w:r>
        <w:rPr>
          <w:rFonts w:hint="eastAsia" w:ascii="宋体" w:hAnsi="宋体" w:cs="Times New Roman"/>
          <w:spacing w:val="-2"/>
          <w:kern w:val="2"/>
          <w:sz w:val="24"/>
          <w:lang w:val="en-US" w:eastAsia="zh-CN"/>
        </w:rPr>
        <w:t>，</w:t>
      </w:r>
      <w:r>
        <w:rPr>
          <w:rFonts w:hint="eastAsia" w:ascii="宋体" w:hAnsi="宋体" w:eastAsia="宋体" w:cs="Times New Roman"/>
          <w:spacing w:val="-2"/>
          <w:kern w:val="2"/>
          <w:sz w:val="24"/>
          <w:lang w:val="en-US" w:eastAsia="zh-CN"/>
        </w:rPr>
        <w:t>根据绿标5.2.9的第1条，应得</w:t>
      </w:r>
      <w:r>
        <w:rPr>
          <w:rFonts w:hint="eastAsia" w:ascii="宋体" w:hAnsi="宋体" w:cs="Times New Roman"/>
          <w:spacing w:val="-2"/>
          <w:kern w:val="2"/>
          <w:sz w:val="24"/>
          <w:lang w:val="en-US" w:eastAsia="zh-CN"/>
        </w:rPr>
        <w:t>3</w:t>
      </w:r>
      <w:r>
        <w:rPr>
          <w:rFonts w:hint="eastAsia" w:ascii="宋体" w:hAnsi="宋体" w:eastAsia="宋体" w:cs="Times New Roman"/>
          <w:spacing w:val="-2"/>
          <w:kern w:val="2"/>
          <w:sz w:val="24"/>
          <w:lang w:val="en-US" w:eastAsia="zh-CN"/>
        </w:rPr>
        <w:t>分。</w:t>
      </w:r>
    </w:p>
    <w:p w14:paraId="055E0A8D">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67" w:name="heading_35"/>
      <w:bookmarkStart w:id="68" w:name="_Toc23079"/>
      <w:r>
        <w:rPr>
          <w:rFonts w:hint="eastAsia" w:ascii="宋体" w:hAnsi="宋体" w:cs="Arial"/>
          <w:b/>
          <w:bCs/>
          <w:kern w:val="2"/>
          <w:sz w:val="24"/>
          <w:szCs w:val="21"/>
          <w:lang w:val="en-US" w:eastAsia="zh-CN" w:bidi="ar-SA"/>
        </w:rPr>
        <w:t>热舒适问题分析</w:t>
      </w:r>
      <w:bookmarkEnd w:id="67"/>
      <w:bookmarkEnd w:id="68"/>
    </w:p>
    <w:p w14:paraId="1B908BE9">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教室与办公室热舒适差异悬殊，办公室达标率偏低。主要因功能空间通风采光条件不同、围护结构热桥保温不足、固定通风无法匹配公共建筑需求、无气流降温补偿，叠加安庆湿热气候影响，热舒适整体不均衡。</w:t>
      </w:r>
    </w:p>
    <w:p w14:paraId="576C6A92">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69" w:name="heading_36"/>
      <w:bookmarkStart w:id="70" w:name="_Toc16379"/>
      <w:r>
        <w:rPr>
          <w:rFonts w:hint="eastAsia" w:ascii="宋体" w:hAnsi="宋体" w:eastAsia="宋体" w:cs="Arial"/>
          <w:b/>
          <w:bCs/>
          <w:iCs/>
          <w:color w:val="000000"/>
          <w:kern w:val="2"/>
          <w:sz w:val="28"/>
          <w:szCs w:val="24"/>
          <w:lang w:val="en-US" w:eastAsia="zh-CN" w:bidi="ar-SA"/>
        </w:rPr>
        <w:t>现状问题总结</w:t>
      </w:r>
      <w:bookmarkEnd w:id="69"/>
      <w:bookmarkEnd w:id="70"/>
    </w:p>
    <w:p w14:paraId="65940760">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通过能耗、采光、通风、热舒适度四项模拟分析，改造前建筑存在以下主要问题</w:t>
      </w:r>
      <w:r>
        <w:rPr>
          <w:rFonts w:hint="eastAsia" w:ascii="宋体" w:hAnsi="宋体" w:cs="Times New Roman"/>
          <w:spacing w:val="-2"/>
          <w:kern w:val="2"/>
          <w:sz w:val="24"/>
          <w:lang w:val="en-US" w:eastAsia="zh-CN"/>
        </w:rPr>
        <w:t>。</w:t>
      </w:r>
    </w:p>
    <w:p w14:paraId="429898AA">
      <w:pPr>
        <w:widowControl w:val="0"/>
        <w:tabs>
          <w:tab w:val="left" w:pos="3472"/>
          <w:tab w:val="clear" w:pos="377"/>
        </w:tabs>
        <w:spacing w:line="400" w:lineRule="exact"/>
        <w:ind w:firstLine="472" w:firstLineChars="200"/>
        <w:rPr>
          <w:rFonts w:hint="eastAsia" w:ascii="宋体" w:hAnsi="宋体" w:cs="Times New Roman"/>
          <w:spacing w:val="-2"/>
          <w:kern w:val="2"/>
          <w:sz w:val="24"/>
          <w:lang w:val="en-US" w:eastAsia="zh-CN"/>
        </w:rPr>
      </w:pPr>
      <w:r>
        <w:rPr>
          <w:rFonts w:hint="eastAsia" w:ascii="宋体" w:hAnsi="宋体" w:eastAsia="宋体" w:cs="Times New Roman"/>
          <w:spacing w:val="-2"/>
          <w:kern w:val="2"/>
          <w:sz w:val="24"/>
          <w:lang w:val="en-US" w:eastAsia="zh-CN"/>
        </w:rPr>
        <w:t>（1）</w:t>
      </w:r>
      <w:r>
        <w:rPr>
          <w:rFonts w:hint="eastAsia" w:ascii="宋体" w:hAnsi="宋体" w:cs="Times New Roman"/>
          <w:spacing w:val="-2"/>
          <w:kern w:val="2"/>
          <w:sz w:val="24"/>
          <w:lang w:val="en-US" w:eastAsia="zh-CN"/>
        </w:rPr>
        <w:t>该建筑天然采光整体不达标，所有教室、办公室的采光系数均未达到Ⅲ级标准要求，无法满足教学与办公空间的视觉需求。同时，教室采光均匀度严重不足，室内照度分布不均，既影响使用体验，也不符合采光规范的强制性条款。</w:t>
      </w:r>
    </w:p>
    <w:p w14:paraId="4602B755">
      <w:pPr>
        <w:widowControl w:val="0"/>
        <w:tabs>
          <w:tab w:val="left" w:pos="3472"/>
          <w:tab w:val="clear" w:pos="377"/>
        </w:tabs>
        <w:spacing w:line="400" w:lineRule="exact"/>
        <w:ind w:firstLine="472" w:firstLineChars="200"/>
        <w:rPr>
          <w:rFonts w:hint="eastAsia" w:ascii="宋体" w:hAnsi="宋体" w:cs="Times New Roman"/>
          <w:spacing w:val="-2"/>
          <w:kern w:val="2"/>
          <w:sz w:val="24"/>
          <w:lang w:val="en-US" w:eastAsia="zh-CN"/>
        </w:rPr>
      </w:pPr>
      <w:r>
        <w:rPr>
          <w:rFonts w:hint="eastAsia" w:ascii="宋体" w:hAnsi="宋体" w:cs="Times New Roman"/>
          <w:spacing w:val="-2"/>
          <w:kern w:val="2"/>
          <w:sz w:val="24"/>
          <w:lang w:val="en-US" w:eastAsia="zh-CN"/>
        </w:rPr>
        <w:t>（2）建筑节能设计存在多项违规且无法通过性能权衡整改。外窗热工性能、太阳得热系数与可见光透射比均不满足规范限值，架空及外挑楼板传热系数超标严重，还存在内表面结露隐患，整体围护结构热工性能不符合公共建筑节能标准。</w:t>
      </w:r>
    </w:p>
    <w:p w14:paraId="1551594A">
      <w:pPr>
        <w:widowControl w:val="0"/>
        <w:tabs>
          <w:tab w:val="left" w:pos="3472"/>
          <w:tab w:val="clear" w:pos="377"/>
        </w:tabs>
        <w:spacing w:line="400" w:lineRule="exact"/>
        <w:ind w:firstLine="472" w:firstLineChars="200"/>
        <w:rPr>
          <w:rFonts w:hint="eastAsia" w:ascii="宋体" w:hAnsi="宋体" w:cs="Times New Roman"/>
          <w:spacing w:val="-2"/>
          <w:kern w:val="2"/>
          <w:sz w:val="24"/>
          <w:lang w:val="en-US" w:eastAsia="zh-CN"/>
        </w:rPr>
      </w:pPr>
      <w:r>
        <w:rPr>
          <w:rFonts w:hint="eastAsia" w:ascii="宋体" w:hAnsi="宋体" w:cs="Times New Roman"/>
          <w:spacing w:val="-2"/>
          <w:kern w:val="2"/>
          <w:sz w:val="24"/>
          <w:lang w:val="en-US" w:eastAsia="zh-CN"/>
        </w:rPr>
        <w:t>（3）建筑全年总能耗偏高，供冷、照明与设备用电占比较大。受围护结构热工缺陷、无热回收装置及可再生能源利用不足等因素影响，建筑冷热负荷偏高，能源利用效率偏低，运行能耗超出合理水平。</w:t>
      </w:r>
    </w:p>
    <w:p w14:paraId="304D0692">
      <w:pPr>
        <w:widowControl w:val="0"/>
        <w:tabs>
          <w:tab w:val="left" w:pos="3472"/>
          <w:tab w:val="clear" w:pos="377"/>
        </w:tabs>
        <w:spacing w:line="400" w:lineRule="exact"/>
        <w:ind w:firstLine="472" w:firstLineChars="200"/>
        <w:rPr>
          <w:rFonts w:hint="eastAsia" w:ascii="宋体" w:hAnsi="宋体" w:cs="Times New Roman"/>
          <w:spacing w:val="-2"/>
          <w:kern w:val="2"/>
          <w:sz w:val="24"/>
          <w:lang w:val="en-US" w:eastAsia="zh-CN"/>
        </w:rPr>
      </w:pPr>
      <w:r>
        <w:rPr>
          <w:rFonts w:hint="eastAsia" w:ascii="宋体" w:hAnsi="宋体" w:cs="Times New Roman"/>
          <w:spacing w:val="-2"/>
          <w:kern w:val="2"/>
          <w:sz w:val="24"/>
          <w:lang w:val="en-US" w:eastAsia="zh-CN"/>
        </w:rPr>
        <w:t>（4）室内热舒适水平一般，主要功能房间适应性热舒适温度达标比例处于中等水平，可满足绿色建筑基础评分要求。但办公室热舒适表现弱于教室，整体空间舒适度仍有明显提升空间。</w:t>
      </w:r>
    </w:p>
    <w:p w14:paraId="78A04630">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cs="Times New Roman"/>
          <w:spacing w:val="-2"/>
          <w:kern w:val="2"/>
          <w:sz w:val="24"/>
          <w:lang w:val="en-US" w:eastAsia="zh-CN"/>
        </w:rPr>
        <w:t>（5）室外风环境呈现冬优夏劣特征，冬季人行区风速、风压与风压差均满足规范，舒适度与节能性良好；但夏季场地内人活动区存在无风区，自然通风效果不佳，影响室外活动体验与室内自然通风效率。</w:t>
      </w:r>
    </w:p>
    <w:p w14:paraId="7E268B13">
      <w:pPr>
        <w:widowControl w:val="0"/>
        <w:tabs>
          <w:tab w:val="left" w:pos="3472"/>
          <w:tab w:val="clear" w:pos="377"/>
        </w:tabs>
        <w:spacing w:line="400" w:lineRule="exact"/>
        <w:ind w:firstLine="472" w:firstLineChars="200"/>
        <w:rPr>
          <w:rFonts w:hint="eastAsia" w:ascii="宋体" w:hAnsi="宋体" w:eastAsia="宋体" w:cs="Times New Roman"/>
          <w:b/>
          <w:kern w:val="44"/>
          <w:sz w:val="30"/>
          <w:szCs w:val="30"/>
          <w:lang w:val="en-US" w:eastAsia="zh-CN" w:bidi="ar-SA"/>
        </w:rPr>
      </w:pPr>
      <w:r>
        <w:rPr>
          <w:rFonts w:hint="eastAsia" w:ascii="宋体" w:hAnsi="宋体" w:eastAsia="宋体" w:cs="Times New Roman"/>
          <w:spacing w:val="-2"/>
          <w:kern w:val="2"/>
          <w:sz w:val="24"/>
          <w:lang w:val="en-US" w:eastAsia="zh-CN"/>
        </w:rPr>
        <w:br w:type="page"/>
      </w:r>
    </w:p>
    <w:p w14:paraId="37AF9F52">
      <w:pPr>
        <w:keepNext/>
        <w:keepLines/>
        <w:pageBreakBefore w:val="0"/>
        <w:widowControl w:val="0"/>
        <w:numPr>
          <w:ilvl w:val="0"/>
          <w:numId w:val="1"/>
        </w:numPr>
        <w:kinsoku/>
        <w:wordWrap/>
        <w:overflowPunct/>
        <w:topLinePunct w:val="0"/>
        <w:autoSpaceDE/>
        <w:autoSpaceDN/>
        <w:bidi w:val="0"/>
        <w:adjustRightInd/>
        <w:snapToGrid/>
        <w:spacing w:before="0" w:after="0" w:line="400" w:lineRule="exact"/>
        <w:ind w:left="0" w:leftChars="0" w:firstLine="602" w:firstLineChars="200"/>
        <w:jc w:val="left"/>
        <w:textAlignment w:val="auto"/>
        <w:outlineLvl w:val="0"/>
        <w:rPr>
          <w:rFonts w:hint="eastAsia" w:ascii="宋体" w:hAnsi="宋体" w:eastAsia="宋体" w:cs="Times New Roman"/>
          <w:b/>
          <w:kern w:val="44"/>
          <w:sz w:val="30"/>
          <w:szCs w:val="30"/>
          <w:lang w:val="en-US" w:eastAsia="zh-CN" w:bidi="ar-SA"/>
        </w:rPr>
      </w:pPr>
      <w:bookmarkStart w:id="71" w:name="_Toc27218"/>
      <w:r>
        <w:rPr>
          <w:rFonts w:hint="eastAsia" w:ascii="宋体" w:hAnsi="宋体" w:eastAsia="宋体" w:cs="Times New Roman"/>
          <w:b/>
          <w:kern w:val="44"/>
          <w:sz w:val="30"/>
          <w:szCs w:val="30"/>
          <w:lang w:val="en-US" w:eastAsia="zh-CN" w:bidi="ar-SA"/>
        </w:rPr>
        <w:t>节能改造方案设计</w:t>
      </w:r>
      <w:bookmarkEnd w:id="71"/>
    </w:p>
    <w:p w14:paraId="0993CBBB">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基于对该建筑能耗现状与热工合规性的全面复核，现状主要问题集中于局部围护结构热工性能不达标及设备系统能效偏低两方面。具体表现为：外窗、架空楼板、分户墙及户门等部位传热系数超出安徽省《公共建筑节能设计标准》限值；原空调系统能效不足，照明控制策略粗放，且缺乏可再生能源利用手段，导致建筑运行能耗存在较大的优化空间。</w:t>
      </w:r>
    </w:p>
    <w:p w14:paraId="26102DCB">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针对上述问题，本章以《绿色建筑评价标准》GB/T50378-2019（2024年版）为纲领，以绿色建筑二星级为认证目标，结合公共建筑的使用特性与安徽省地域气候特征，制定如下针对性改造方案。</w:t>
      </w:r>
    </w:p>
    <w:p w14:paraId="330742D9">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72" w:name="_Toc10179"/>
      <w:r>
        <w:rPr>
          <w:rFonts w:hint="eastAsia" w:ascii="宋体" w:hAnsi="宋体" w:eastAsia="宋体" w:cs="Arial"/>
          <w:b/>
          <w:bCs/>
          <w:iCs/>
          <w:color w:val="000000"/>
          <w:kern w:val="2"/>
          <w:sz w:val="28"/>
          <w:szCs w:val="24"/>
          <w:lang w:val="en-US" w:eastAsia="zh-CN" w:bidi="ar-SA"/>
        </w:rPr>
        <w:t>改造目标与原则</w:t>
      </w:r>
      <w:bookmarkEnd w:id="72"/>
    </w:p>
    <w:p w14:paraId="4951D721">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73" w:name="_Toc2622"/>
      <w:r>
        <w:rPr>
          <w:rFonts w:hint="eastAsia" w:ascii="宋体" w:hAnsi="宋体" w:cs="Arial"/>
          <w:b/>
          <w:bCs/>
          <w:kern w:val="2"/>
          <w:sz w:val="24"/>
          <w:szCs w:val="21"/>
          <w:lang w:val="en-US" w:eastAsia="zh-CN" w:bidi="ar-SA"/>
        </w:rPr>
        <w:t>改造目标</w:t>
      </w:r>
      <w:bookmarkEnd w:id="73"/>
    </w:p>
    <w:p w14:paraId="690D4D60">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针对第一章识别的热工短板与设备能效问题，设定以下量化控制目标：</w:t>
      </w:r>
    </w:p>
    <w:p w14:paraId="4B31686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（1）围护结构热工合规：在维持原建筑风貌与结构体系不变的前提下，重点补齐短板，确保架空/外挑楼板、外窗等关键部位传热系数达标，外墙综合传热系数稳定满足K≤0.65W/(㎡·K)​的要求。</w:t>
      </w:r>
    </w:p>
    <w:p w14:paraId="14668A6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（2）用能系统能效提升：空调系统全年能源效率（APF）提升至4.20，照明系统全面实现LED化与智能化，降低空调与照明电耗，提升系统部分负荷下的运行效率。</w:t>
      </w:r>
    </w:p>
    <w:p w14:paraId="1F466839">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（3）清洁能源与储能耦合：利用屋顶闲置空间增设300m²​高效光伏系统，并配套小型储能装置，提升光伏自发自用率，增强建筑应对峰谷电价的能力与应急供电可靠性。</w:t>
      </w:r>
    </w:p>
    <w:p w14:paraId="44836CDE">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74" w:name="_Ref2360"/>
      <w:bookmarkStart w:id="75" w:name="_Toc25046"/>
      <w:r>
        <w:rPr>
          <w:rFonts w:hint="eastAsia" w:ascii="宋体" w:hAnsi="宋体" w:cs="Arial"/>
          <w:b/>
          <w:bCs/>
          <w:kern w:val="2"/>
          <w:sz w:val="24"/>
          <w:szCs w:val="21"/>
          <w:lang w:val="en-US" w:eastAsia="zh-CN" w:bidi="ar-SA"/>
        </w:rPr>
        <w:t>改造原则</w:t>
      </w:r>
      <w:bookmarkEnd w:id="74"/>
      <w:bookmarkEnd w:id="75"/>
    </w:p>
    <w:p w14:paraId="5543137D">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（1）最小干预与利旧原则</w:t>
      </w:r>
    </w:p>
    <w:p w14:paraId="5E1D2E0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针对大部分原有构造（外墙、屋面）已满足规范要求的情况，坚持“只修不换、只补不强”的策略。重点对外窗、架空楼板等不达标部位进行微创式改造，严禁大拆大改，确保不破坏原有建筑立面效果与结构受力体系，最大程度降低施工扰民与改造成本。</w:t>
      </w:r>
    </w:p>
    <w:p w14:paraId="4548A4E6">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（2）热桥阻断与防结露原则</w:t>
      </w:r>
    </w:p>
    <w:p w14:paraId="2BFB0133">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针对架空楼板、热桥部位等散热大户，采取增设保温层的专项治理。重点解决改造前因热桥导致的冬季内表面结露风险，通过热工验算确保改造后内表面温度高于露点温度，在提升热工性能的同时，保障室内卫生环境与围护结构耐久性。</w:t>
      </w:r>
    </w:p>
    <w:p w14:paraId="4148EC1B">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（3）智慧运行与光储协同原则</w:t>
      </w:r>
    </w:p>
    <w:p w14:paraId="29773822">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设备系统升级强调“硬件提效+软件管控”。空调系统引入变频群控与人员感应，照明系统采用雷达感应与光控结合；能源系统引入“光伏+储能”模式，通过小型储能装置平抑光伏发电波动，实现能源的就地消纳与高效利用。</w:t>
      </w:r>
    </w:p>
    <w:p w14:paraId="5CFD1CD6">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76" w:name="_Toc12196"/>
      <w:r>
        <w:rPr>
          <w:rFonts w:hint="eastAsia" w:ascii="宋体" w:hAnsi="宋体" w:eastAsia="宋体" w:cs="Arial"/>
          <w:b/>
          <w:bCs/>
          <w:iCs/>
          <w:color w:val="000000"/>
          <w:kern w:val="2"/>
          <w:sz w:val="28"/>
          <w:szCs w:val="24"/>
          <w:lang w:val="en-US" w:eastAsia="zh-CN" w:bidi="ar-SA"/>
        </w:rPr>
        <w:t>围护结构改造</w:t>
      </w:r>
      <w:bookmarkEnd w:id="76"/>
    </w:p>
    <w:p w14:paraId="69156050">
      <w:pPr>
        <w:widowControl w:val="0"/>
        <w:tabs>
          <w:tab w:val="left" w:pos="3472"/>
          <w:tab w:val="clear" w:pos="377"/>
        </w:tabs>
        <w:spacing w:line="400" w:lineRule="exact"/>
        <w:ind w:firstLine="472" w:firstLineChars="200"/>
        <w:rPr>
          <w:rFonts w:hint="eastAsia" w:ascii="宋体" w:hAnsi="宋体" w:cs="Times New Roman"/>
          <w:spacing w:val="-2"/>
          <w:kern w:val="2"/>
          <w:sz w:val="24"/>
          <w:lang w:val="en-US" w:eastAsia="zh-CN"/>
        </w:rPr>
      </w:pPr>
      <w:r>
        <w:rPr>
          <w:rFonts w:hint="eastAsia" w:ascii="宋体" w:hAnsi="宋体" w:eastAsia="宋体" w:cs="Times New Roman"/>
          <w:spacing w:val="-2"/>
          <w:kern w:val="2"/>
          <w:sz w:val="24"/>
          <w:lang w:val="en-US" w:eastAsia="zh-CN"/>
        </w:rPr>
        <w:t>根据节能</w:t>
      </w:r>
      <w:r>
        <w:rPr>
          <w:rFonts w:hint="eastAsia" w:ascii="宋体" w:hAnsi="宋体" w:cs="Times New Roman"/>
          <w:spacing w:val="-2"/>
          <w:kern w:val="2"/>
          <w:sz w:val="24"/>
          <w:lang w:val="en-US" w:eastAsia="zh-CN"/>
        </w:rPr>
        <w:t>设计标准判定，建筑围护结构原有外墙、屋面构造保温体系满足现行规范要求，仅外窗、楼板、分户墙、户门等处构造传热系数超限，故针对以上不达标部位进行围护结构改造。</w:t>
      </w:r>
    </w:p>
    <w:p w14:paraId="420D36BA">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default" w:ascii="宋体" w:hAnsi="宋体" w:cs="Arial"/>
          <w:b/>
          <w:bCs/>
          <w:kern w:val="2"/>
          <w:sz w:val="24"/>
          <w:szCs w:val="21"/>
          <w:lang w:val="en-US" w:eastAsia="zh-CN" w:bidi="ar-SA"/>
        </w:rPr>
      </w:pPr>
      <w:r>
        <w:rPr>
          <w:rFonts w:hint="eastAsia" w:ascii="宋体" w:hAnsi="宋体" w:cs="Arial"/>
          <w:b/>
          <w:bCs/>
          <w:kern w:val="2"/>
          <w:sz w:val="24"/>
          <w:szCs w:val="21"/>
          <w:lang w:val="en-US" w:eastAsia="zh-CN" w:bidi="ar-SA"/>
        </w:rPr>
        <w:t>外墙改造方案</w:t>
      </w:r>
    </w:p>
    <w:p w14:paraId="28A240B5">
      <w:pPr>
        <w:widowControl w:val="0"/>
        <w:tabs>
          <w:tab w:val="left" w:pos="3472"/>
          <w:tab w:val="clear" w:pos="377"/>
        </w:tabs>
        <w:spacing w:line="400" w:lineRule="exact"/>
        <w:ind w:firstLine="472" w:firstLineChars="200"/>
        <w:rPr>
          <w:rFonts w:hint="default" w:ascii="宋体" w:hAnsi="宋体" w:cs="Times New Roman"/>
          <w:spacing w:val="-2"/>
          <w:kern w:val="2"/>
          <w:sz w:val="24"/>
          <w:lang w:val="en-US" w:eastAsia="zh-CN"/>
        </w:rPr>
      </w:pPr>
      <w:r>
        <w:rPr>
          <w:rFonts w:hint="default" w:ascii="宋体" w:hAnsi="宋体" w:cs="Times New Roman"/>
          <w:spacing w:val="-2"/>
          <w:kern w:val="2"/>
          <w:sz w:val="24"/>
          <w:lang w:val="en-US" w:eastAsia="zh-CN"/>
        </w:rPr>
        <w:t>本工程外墙采用岩棉板薄抹灰外保温系统保持原有构造体系不变，仅对热工性能与构造可靠性进行优化提升，维持填充墙、热桥梁、热桥柱原有构造层次与材料组成。外墙外侧依旧采用涂料饰面，内侧为蒸压加气混凝土砌块与水泥砂浆找平层，中间保留40mm厚岩棉板保温层、防水层及抗裂砂浆防护层，确保改造施工不改动外立面造型与结构受力体系。改造后外墙填充墙传热系数维持0.501W/(㎡・K)，热桥梁传热系数维持0.856W/(㎡・K)，热桥柱传热系数维持0.746W/(㎡・K)，外墙综合传热系数维持0.61W/(㎡・K)，满足安徽省《公共建筑节能设计标准》DB34/T5076-2023中K≤0.65的限值要求，热惰性指标保持4.57，保温与隔热性能稳定达标。</w:t>
      </w:r>
    </w:p>
    <w:p w14:paraId="3A97C00E">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default" w:ascii="宋体" w:hAnsi="宋体" w:cs="Arial"/>
          <w:b/>
          <w:bCs/>
          <w:kern w:val="2"/>
          <w:sz w:val="24"/>
          <w:szCs w:val="21"/>
          <w:lang w:val="en-US" w:eastAsia="zh-CN" w:bidi="ar-SA"/>
        </w:rPr>
      </w:pPr>
      <w:r>
        <w:rPr>
          <w:rFonts w:hint="eastAsia" w:ascii="宋体" w:hAnsi="宋体" w:cs="Arial"/>
          <w:b/>
          <w:bCs/>
          <w:kern w:val="2"/>
          <w:sz w:val="24"/>
          <w:szCs w:val="21"/>
          <w:lang w:val="en-US" w:eastAsia="zh-CN" w:bidi="ar-SA"/>
        </w:rPr>
        <w:t>屋面改造方案</w:t>
      </w:r>
    </w:p>
    <w:p w14:paraId="31F27D17">
      <w:pPr>
        <w:widowControl w:val="0"/>
        <w:tabs>
          <w:tab w:val="left" w:pos="3472"/>
          <w:tab w:val="clear" w:pos="377"/>
        </w:tabs>
        <w:spacing w:line="400" w:lineRule="exact"/>
        <w:ind w:firstLine="472" w:firstLineChars="200"/>
        <w:rPr>
          <w:rFonts w:hint="default" w:ascii="宋体" w:hAnsi="宋体" w:cs="Times New Roman"/>
          <w:spacing w:val="-2"/>
          <w:kern w:val="2"/>
          <w:sz w:val="24"/>
          <w:lang w:val="en-US" w:eastAsia="zh-CN"/>
        </w:rPr>
      </w:pPr>
      <w:r>
        <w:rPr>
          <w:rFonts w:hint="default" w:ascii="宋体" w:hAnsi="宋体" w:cs="Times New Roman"/>
          <w:spacing w:val="-2"/>
          <w:kern w:val="2"/>
          <w:sz w:val="24"/>
          <w:lang w:val="en-US" w:eastAsia="zh-CN"/>
        </w:rPr>
        <w:t>屋面维持原有上人保温屋面构造不变，自上而下依旧为细石混凝土保护层、水泥砂浆找平层、自粘无胎高聚物改性沥青防水卷材、LC5.0轻集料混凝土找坡层、100mm厚硬泡聚氨酯复合板保温层及钢筋混凝土屋面板，不改变屋面排水坡度、防水体系与面层做法。保温层材料、厚度、铺设方式均保持原状，改造后屋面传热系数维持0.269W/(㎡・K)，热惰性指标保持4.072，面密度495.40kg/㎡，满足规范K≤0.30的限值要求，保温、防水、耐久性能保持稳定，无需新增或更换构造层次。</w:t>
      </w:r>
    </w:p>
    <w:p w14:paraId="444AB0FF">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77" w:name="_Toc13865"/>
      <w:r>
        <w:rPr>
          <w:rFonts w:hint="eastAsia" w:ascii="宋体" w:hAnsi="宋体" w:cs="Arial"/>
          <w:b/>
          <w:bCs/>
          <w:kern w:val="2"/>
          <w:sz w:val="24"/>
          <w:szCs w:val="21"/>
          <w:lang w:val="en-US" w:eastAsia="zh-CN" w:bidi="ar-SA"/>
        </w:rPr>
        <w:t>外窗更换方案</w:t>
      </w:r>
      <w:bookmarkEnd w:id="77"/>
    </w:p>
    <w:p w14:paraId="3B6E856F">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拆除改造前普通中空玻璃外窗，统一更换为高性能金属隔热框三玻两腔外窗，采用6高透单银Low-E+9A+5+9A+6玻璃配置，搭配34mm宽隔热条，窗框比0.25。外窗开启形式、洞口尺寸、安装位置与原有门窗保持一致，不改动建筑立面效果；安装时对窗框与墙体间隙采用高效保温材料填实，外侧使用耐候密封胶连续封闭，提升气密性与水密性。改造后外窗传热系数由2.20W/(㎡・K)降至1.90W/(㎡・K)，太阳得热系数0.398，可见光透射比提升至0.65，气密性等级保持6级，满足传热系数、太阳得热系数、可见光透射比等全部指标限值要求，同时优化保温、隔热与采光性能。</w:t>
      </w:r>
    </w:p>
    <w:p w14:paraId="4EBC77CD">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default" w:ascii="宋体" w:hAnsi="宋体" w:cs="Arial"/>
          <w:b/>
          <w:bCs/>
          <w:kern w:val="2"/>
          <w:sz w:val="24"/>
          <w:szCs w:val="21"/>
          <w:lang w:val="en-US" w:eastAsia="zh-CN" w:bidi="ar-SA"/>
        </w:rPr>
      </w:pPr>
      <w:r>
        <w:rPr>
          <w:rFonts w:hint="eastAsia" w:ascii="宋体" w:hAnsi="宋体" w:cs="Arial"/>
          <w:b/>
          <w:bCs/>
          <w:kern w:val="2"/>
          <w:sz w:val="24"/>
          <w:szCs w:val="21"/>
          <w:lang w:val="en-US" w:eastAsia="zh-CN" w:bidi="ar-SA"/>
        </w:rPr>
        <w:t>架空/外挑楼板改造方案</w:t>
      </w:r>
    </w:p>
    <w:p w14:paraId="40EC13C6">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对架空及外挑楼板进行新增保温层专项改造，在原有构造（面层水泥砂浆9mm、钢筋混凝土楼板120mm）基础上，于楼板下侧增设75mm厚岩棉条复合板（TR10，0，A级）保温构造。施工前对楼板底部基层进行清理、找平与界面处理，将岩棉条复合板采用粘锚结合方式固定，确保与混凝土基层粘结牢固、接缝严密，无热桥与松动隐患。改造后构造自上而下为水泥砂浆9mm、钢筋混凝土120mm、岩棉条复合板75mm，传热系数由4.190W/(㎡・K)降至0.626W/(㎡・K)，热惰性指标提升至2.437，满足规范K≤0.65的限值要求，同时通过结露验算，内表面不结露，有效阻断热量传递并消除结露隐患</w:t>
      </w:r>
    </w:p>
    <w:p w14:paraId="1AC6C48B">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78" w:name="_Toc22833"/>
      <w:r>
        <w:rPr>
          <w:rFonts w:hint="eastAsia" w:ascii="宋体" w:hAnsi="宋体" w:eastAsia="宋体" w:cs="Arial"/>
          <w:b/>
          <w:bCs/>
          <w:iCs/>
          <w:color w:val="000000"/>
          <w:kern w:val="2"/>
          <w:sz w:val="28"/>
          <w:szCs w:val="24"/>
          <w:lang w:val="en-US" w:eastAsia="zh-CN" w:bidi="ar-SA"/>
        </w:rPr>
        <w:t>用能系统优化</w:t>
      </w:r>
      <w:bookmarkEnd w:id="78"/>
    </w:p>
    <w:p w14:paraId="619E7DD1">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79" w:name="_Toc13163"/>
      <w:r>
        <w:rPr>
          <w:rFonts w:hint="eastAsia" w:ascii="宋体" w:hAnsi="宋体" w:cs="Arial"/>
          <w:b/>
          <w:bCs/>
          <w:kern w:val="2"/>
          <w:sz w:val="24"/>
          <w:szCs w:val="21"/>
          <w:lang w:val="en-US" w:eastAsia="zh-CN" w:bidi="ar-SA"/>
        </w:rPr>
        <w:t>空调/采暖系统升级</w:t>
      </w:r>
      <w:bookmarkEnd w:id="79"/>
    </w:p>
    <w:p w14:paraId="5AC3CB77">
      <w:pPr>
        <w:widowControl w:val="0"/>
        <w:tabs>
          <w:tab w:val="left" w:pos="3472"/>
          <w:tab w:val="clear" w:pos="377"/>
        </w:tabs>
        <w:spacing w:line="400" w:lineRule="exact"/>
        <w:ind w:firstLine="472" w:firstLineChars="200"/>
        <w:rPr>
          <w:rFonts w:hint="eastAsia" w:ascii="宋体" w:hAnsi="宋体" w:cs="Arial"/>
          <w:b/>
          <w:bCs/>
          <w:kern w:val="2"/>
          <w:sz w:val="24"/>
          <w:szCs w:val="21"/>
          <w:lang w:val="en-US" w:eastAsia="zh-CN" w:bidi="ar-SA"/>
        </w:rPr>
      </w:pPr>
      <w:r>
        <w:rPr>
          <w:rFonts w:hint="eastAsia" w:ascii="宋体" w:hAnsi="宋体" w:cs="Times New Roman"/>
          <w:spacing w:val="-2"/>
          <w:kern w:val="2"/>
          <w:sz w:val="24"/>
          <w:lang w:val="en-US" w:eastAsia="zh-CN"/>
        </w:rPr>
        <w:t>空调系统</w:t>
      </w:r>
      <w:r>
        <w:rPr>
          <w:rFonts w:hint="eastAsia" w:ascii="宋体" w:hAnsi="宋体" w:eastAsia="宋体" w:cs="Times New Roman"/>
          <w:spacing w:val="-2"/>
          <w:kern w:val="2"/>
          <w:sz w:val="24"/>
          <w:lang w:val="en-US" w:eastAsia="zh-CN"/>
        </w:rPr>
        <w:t>以高能效设备替代低效产品。改造前多联机系统能效偏低，改造后采用APF=4.20的高效多联机</w:t>
      </w:r>
      <w:r>
        <w:rPr>
          <w:rFonts w:hint="eastAsia" w:ascii="宋体" w:hAnsi="宋体" w:cs="Times New Roman"/>
          <w:spacing w:val="-2"/>
          <w:kern w:val="2"/>
          <w:sz w:val="24"/>
          <w:lang w:val="en-US" w:eastAsia="zh-CN"/>
        </w:rPr>
        <w:t>，供冷期集中运行，按需启停，有效降低供冷电耗。另外</w:t>
      </w:r>
      <w:r>
        <w:rPr>
          <w:rFonts w:hint="eastAsia" w:ascii="宋体" w:hAnsi="宋体" w:eastAsia="宋体" w:cs="Times New Roman"/>
          <w:spacing w:val="-2"/>
          <w:kern w:val="2"/>
          <w:sz w:val="24"/>
          <w:lang w:val="en-US" w:eastAsia="zh-CN"/>
        </w:rPr>
        <w:t>加装变频群控系统，结合室内人员感应动态调节机组，避免低负荷低效运行。</w:t>
      </w:r>
    </w:p>
    <w:p w14:paraId="710F5098">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r>
        <w:rPr>
          <w:rFonts w:hint="eastAsia" w:ascii="宋体" w:hAnsi="宋体" w:cs="Arial"/>
          <w:b/>
          <w:bCs/>
          <w:kern w:val="2"/>
          <w:sz w:val="24"/>
          <w:szCs w:val="21"/>
          <w:lang w:val="en-US" w:eastAsia="zh-CN" w:bidi="ar-SA"/>
        </w:rPr>
        <w:t>照明系统改造</w:t>
      </w:r>
    </w:p>
    <w:p w14:paraId="1E44C135">
      <w:pPr>
        <w:widowControl w:val="0"/>
        <w:tabs>
          <w:tab w:val="left" w:pos="3472"/>
          <w:tab w:val="clear" w:pos="377"/>
        </w:tabs>
        <w:spacing w:line="400" w:lineRule="exact"/>
        <w:ind w:firstLine="472" w:firstLineChars="200"/>
        <w:rPr>
          <w:rFonts w:hint="default" w:ascii="宋体" w:hAnsi="宋体" w:cs="Times New Roman"/>
          <w:spacing w:val="-2"/>
          <w:kern w:val="2"/>
          <w:sz w:val="24"/>
          <w:lang w:val="en-US" w:eastAsia="zh-CN"/>
        </w:rPr>
      </w:pPr>
      <w:r>
        <w:rPr>
          <w:rFonts w:hint="eastAsia" w:ascii="宋体" w:hAnsi="宋体" w:cs="Times New Roman"/>
          <w:spacing w:val="-2"/>
          <w:kern w:val="2"/>
          <w:sz w:val="24"/>
          <w:lang w:val="en-US" w:eastAsia="zh-CN"/>
        </w:rPr>
        <w:t>普通教室、办公室采用节能型led光源，</w:t>
      </w:r>
      <w:r>
        <w:rPr>
          <w:rFonts w:hint="default" w:ascii="宋体" w:hAnsi="宋体" w:cs="Times New Roman"/>
          <w:spacing w:val="-2"/>
          <w:kern w:val="2"/>
          <w:sz w:val="24"/>
          <w:lang w:val="en-US" w:eastAsia="zh-CN"/>
        </w:rPr>
        <w:t>走廊、楼梯间、卫生间更换为雷达感应+光控LED灯具，白天光照充足时自动熄灭，夜间无人时保持微亮待机。</w:t>
      </w:r>
    </w:p>
    <w:p w14:paraId="4F9BB1AE">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80" w:name="_Toc7747"/>
      <w:r>
        <w:rPr>
          <w:rFonts w:hint="eastAsia" w:ascii="宋体" w:hAnsi="宋体" w:eastAsia="宋体" w:cs="Arial"/>
          <w:b/>
          <w:bCs/>
          <w:iCs/>
          <w:color w:val="000000"/>
          <w:kern w:val="2"/>
          <w:sz w:val="28"/>
          <w:szCs w:val="24"/>
          <w:lang w:val="en-US" w:eastAsia="zh-CN" w:bidi="ar-SA"/>
        </w:rPr>
        <w:t>清洁能源利用</w:t>
      </w:r>
      <w:bookmarkEnd w:id="80"/>
    </w:p>
    <w:p w14:paraId="6621C216">
      <w:pPr>
        <w:widowControl w:val="0"/>
        <w:tabs>
          <w:tab w:val="left" w:pos="3472"/>
          <w:tab w:val="clear" w:pos="377"/>
        </w:tabs>
        <w:spacing w:line="400" w:lineRule="exact"/>
        <w:ind w:firstLine="472" w:firstLineChars="200"/>
        <w:rPr>
          <w:rFonts w:hint="default" w:ascii="宋体" w:hAnsi="宋体" w:cs="Times New Roman"/>
          <w:spacing w:val="-2"/>
          <w:kern w:val="2"/>
          <w:sz w:val="24"/>
          <w:lang w:val="en-US" w:eastAsia="zh-CN"/>
        </w:rPr>
      </w:pPr>
      <w:r>
        <w:rPr>
          <w:rFonts w:hint="eastAsia" w:ascii="宋体" w:hAnsi="宋体" w:cs="Times New Roman"/>
          <w:spacing w:val="-2"/>
          <w:kern w:val="2"/>
          <w:sz w:val="24"/>
          <w:lang w:val="en-US" w:eastAsia="zh-CN"/>
        </w:rPr>
        <w:t>结合建筑屋顶条件，增设光伏发电系统。利用屋顶剩余闲置空间增设光伏板至300㎡，更换为N型TOPCon高效组件；配套小型储能装置，存储午间富余电量用于夜间应急照明。</w:t>
      </w:r>
    </w:p>
    <w:p w14:paraId="10A620CD">
      <w:pPr>
        <w:keepNext/>
        <w:keepLines w:val="0"/>
        <w:pageBreakBefore w:val="0"/>
        <w:widowControl w:val="0"/>
        <w:numPr>
          <w:ilvl w:val="0"/>
          <w:numId w:val="0"/>
        </w:numPr>
        <w:tabs>
          <w:tab w:val="left" w:pos="578"/>
        </w:tabs>
        <w:kinsoku/>
        <w:wordWrap/>
        <w:overflowPunct/>
        <w:topLinePunct w:val="0"/>
        <w:autoSpaceDE/>
        <w:autoSpaceDN/>
        <w:bidi w:val="0"/>
        <w:adjustRightInd/>
        <w:snapToGrid/>
        <w:spacing w:before="0" w:after="0" w:line="400" w:lineRule="exact"/>
        <w:jc w:val="left"/>
        <w:textAlignment w:val="auto"/>
        <w:outlineLvl w:val="2"/>
        <w:rPr>
          <w:rFonts w:hint="eastAsia" w:ascii="宋体" w:hAnsi="宋体" w:cs="Arial"/>
          <w:b/>
          <w:bCs/>
          <w:kern w:val="2"/>
          <w:sz w:val="24"/>
          <w:szCs w:val="21"/>
          <w:lang w:val="en-US" w:eastAsia="zh-CN" w:bidi="ar-SA"/>
        </w:rPr>
      </w:pPr>
      <w:r>
        <w:rPr>
          <w:rFonts w:hint="eastAsia" w:ascii="宋体" w:hAnsi="宋体" w:cs="Arial"/>
          <w:b/>
          <w:bCs/>
          <w:kern w:val="2"/>
          <w:sz w:val="24"/>
          <w:szCs w:val="21"/>
          <w:lang w:val="en-US" w:eastAsia="zh-CN" w:bidi="ar-SA"/>
        </w:rPr>
        <w:br w:type="page"/>
      </w:r>
    </w:p>
    <w:p w14:paraId="5BB862A0">
      <w:pPr>
        <w:keepNext/>
        <w:keepLines/>
        <w:pageBreakBefore w:val="0"/>
        <w:widowControl w:val="0"/>
        <w:numPr>
          <w:ilvl w:val="0"/>
          <w:numId w:val="1"/>
        </w:numPr>
        <w:kinsoku/>
        <w:wordWrap/>
        <w:overflowPunct/>
        <w:topLinePunct w:val="0"/>
        <w:autoSpaceDE/>
        <w:autoSpaceDN/>
        <w:bidi w:val="0"/>
        <w:adjustRightInd/>
        <w:snapToGrid/>
        <w:spacing w:before="0" w:after="0" w:line="400" w:lineRule="exact"/>
        <w:ind w:left="0" w:leftChars="0" w:firstLine="602" w:firstLineChars="200"/>
        <w:jc w:val="left"/>
        <w:textAlignment w:val="auto"/>
        <w:outlineLvl w:val="0"/>
        <w:rPr>
          <w:rFonts w:hint="eastAsia" w:ascii="宋体" w:hAnsi="宋体" w:eastAsia="宋体" w:cs="Times New Roman"/>
          <w:b/>
          <w:kern w:val="44"/>
          <w:sz w:val="30"/>
          <w:szCs w:val="30"/>
          <w:lang w:val="en-US" w:eastAsia="zh-CN" w:bidi="ar-SA"/>
        </w:rPr>
      </w:pPr>
      <w:bookmarkStart w:id="81" w:name="_Toc19772"/>
      <w:r>
        <w:rPr>
          <w:rFonts w:hint="eastAsia" w:ascii="宋体" w:hAnsi="宋体" w:eastAsia="宋体" w:cs="Times New Roman"/>
          <w:b/>
          <w:kern w:val="44"/>
          <w:sz w:val="30"/>
          <w:szCs w:val="30"/>
          <w:lang w:val="en-US" w:eastAsia="zh-CN" w:bidi="ar-SA"/>
        </w:rPr>
        <w:t>改造效果模拟验证</w:t>
      </w:r>
      <w:bookmarkEnd w:id="81"/>
    </w:p>
    <w:p w14:paraId="3036E612">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82" w:name="_Toc16183"/>
      <w:r>
        <w:rPr>
          <w:rFonts w:hint="eastAsia" w:ascii="宋体" w:hAnsi="宋体" w:eastAsia="宋体" w:cs="Arial"/>
          <w:b/>
          <w:bCs/>
          <w:iCs/>
          <w:color w:val="000000"/>
          <w:kern w:val="2"/>
          <w:sz w:val="28"/>
          <w:szCs w:val="24"/>
          <w:lang w:val="en-US" w:eastAsia="zh-CN" w:bidi="ar-SA"/>
        </w:rPr>
        <w:t>改造后模型建立</w:t>
      </w:r>
      <w:bookmarkEnd w:id="82"/>
    </w:p>
    <w:p w14:paraId="7DA226B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次改造依托前一章节建立的建筑能耗模型进行验证。模型完整还原了改造后的围护结构热工性能、高性能门窗配置及实际运行策略，并重点纳入了升级的高效空调系统、优化后的采暖系统及新增的光伏系统等关键参数，精准反映了建筑在“围护结构强化+用能系统提效”协同作用下的实际节能运行状态。</w:t>
      </w:r>
    </w:p>
    <w:p w14:paraId="5D5EB03E">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83" w:name="_Toc7202"/>
      <w:r>
        <w:rPr>
          <w:rFonts w:hint="eastAsia" w:ascii="宋体" w:hAnsi="宋体" w:eastAsia="宋体" w:cs="Arial"/>
          <w:b/>
          <w:bCs/>
          <w:iCs/>
          <w:color w:val="000000"/>
          <w:kern w:val="2"/>
          <w:sz w:val="28"/>
          <w:szCs w:val="24"/>
          <w:lang w:val="en-US" w:eastAsia="zh-CN" w:bidi="ar-SA"/>
        </w:rPr>
        <w:t>改造后模拟结果</w:t>
      </w:r>
      <w:bookmarkEnd w:id="83"/>
    </w:p>
    <w:p w14:paraId="0856E0FC">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84" w:name="_Toc6395"/>
      <w:r>
        <w:rPr>
          <w:rFonts w:hint="eastAsia" w:ascii="宋体" w:hAnsi="宋体" w:cs="Arial"/>
          <w:b/>
          <w:bCs/>
          <w:kern w:val="2"/>
          <w:sz w:val="24"/>
          <w:szCs w:val="21"/>
          <w:lang w:val="en-US" w:eastAsia="zh-CN" w:bidi="ar-SA"/>
        </w:rPr>
        <w:t>能耗结果分析</w:t>
      </w:r>
      <w:bookmarkEnd w:id="84"/>
    </w:p>
    <w:p w14:paraId="6985BA71">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经绿建斯维尔软件模拟计算，本建筑全年总能耗为</w:t>
      </w:r>
      <w:r>
        <w:rPr>
          <w:rFonts w:hint="eastAsia" w:ascii="宋体" w:hAnsi="宋体" w:cs="Times New Roman"/>
          <w:spacing w:val="-2"/>
          <w:kern w:val="2"/>
          <w:sz w:val="24"/>
          <w:lang w:val="en-US" w:eastAsia="zh-CN"/>
        </w:rPr>
        <w:t>178378</w:t>
      </w:r>
      <w:r>
        <w:rPr>
          <w:rFonts w:hint="eastAsia" w:ascii="宋体" w:hAnsi="宋体" w:eastAsia="宋体" w:cs="Times New Roman"/>
          <w:spacing w:val="-2"/>
          <w:kern w:val="2"/>
          <w:sz w:val="24"/>
          <w:lang w:val="en-US" w:eastAsia="zh-CN"/>
        </w:rPr>
        <w:t>kWh/年，单位建筑面积年能耗为</w:t>
      </w:r>
      <w:r>
        <w:rPr>
          <w:rFonts w:hint="eastAsia" w:ascii="宋体" w:hAnsi="宋体" w:cs="Times New Roman"/>
          <w:spacing w:val="-2"/>
          <w:kern w:val="2"/>
          <w:sz w:val="24"/>
          <w:lang w:val="en-US" w:eastAsia="zh-CN"/>
        </w:rPr>
        <w:t>41.28</w:t>
      </w:r>
      <w:r>
        <w:rPr>
          <w:rFonts w:hint="eastAsia" w:ascii="宋体" w:hAnsi="宋体" w:eastAsia="宋体" w:cs="Times New Roman"/>
          <w:spacing w:val="-2"/>
          <w:kern w:val="2"/>
          <w:sz w:val="24"/>
          <w:lang w:val="en-US" w:eastAsia="zh-CN"/>
        </w:rPr>
        <w:t>kWh/(m²·a)。各分项能耗统计结果如下：</w:t>
      </w:r>
    </w:p>
    <w:p w14:paraId="3C876B06">
      <w:pPr>
        <w:widowControl/>
        <w:adjustRightInd w:val="0"/>
        <w:snapToGrid w:val="0"/>
        <w:spacing w:line="420" w:lineRule="atLeast"/>
        <w:jc w:val="center"/>
        <w:rPr>
          <w:rFonts w:hint="eastAsia" w:ascii="楷体_GB2312" w:hAnsi="宋体" w:eastAsia="楷体_GB2312" w:cs="Courier New"/>
          <w:b/>
          <w:bCs/>
          <w:color w:val="000000"/>
          <w:kern w:val="0"/>
          <w:sz w:val="24"/>
          <w:szCs w:val="24"/>
          <w:lang w:val="en-US" w:eastAsia="zh-CN" w:bidi="ar-SA"/>
        </w:rPr>
      </w:pPr>
      <w:r>
        <w:rPr>
          <w:rFonts w:hint="eastAsia" w:ascii="楷体_GB2312" w:hAnsi="宋体" w:eastAsia="楷体_GB2312" w:cs="Courier New"/>
          <w:b/>
          <w:bCs/>
          <w:color w:val="000000"/>
          <w:kern w:val="0"/>
          <w:sz w:val="24"/>
          <w:szCs w:val="24"/>
          <w:lang w:val="en-US" w:eastAsia="zh-CN" w:bidi="ar-SA"/>
        </w:rPr>
        <w:t xml:space="preserve">表3-1  </w:t>
      </w:r>
      <w:r>
        <w:rPr>
          <w:rFonts w:hint="default" w:ascii="楷体_GB2312" w:hAnsi="宋体" w:eastAsia="楷体_GB2312" w:cs="Courier New"/>
          <w:b/>
          <w:bCs/>
          <w:color w:val="000000"/>
          <w:kern w:val="0"/>
          <w:sz w:val="24"/>
          <w:szCs w:val="24"/>
          <w:lang w:val="en-US" w:eastAsia="zh-CN" w:bidi="ar-SA"/>
        </w:rPr>
        <w:t>全年能耗</w:t>
      </w:r>
      <w:r>
        <w:rPr>
          <w:rFonts w:hint="eastAsia" w:ascii="楷体_GB2312" w:hAnsi="宋体" w:eastAsia="楷体_GB2312" w:cs="Courier New"/>
          <w:b/>
          <w:bCs/>
          <w:color w:val="000000"/>
          <w:kern w:val="0"/>
          <w:sz w:val="24"/>
          <w:szCs w:val="24"/>
          <w:lang w:val="en-US" w:eastAsia="zh-CN" w:bidi="ar-SA"/>
        </w:rPr>
        <w:t>分项表</w:t>
      </w:r>
    </w:p>
    <w:tbl>
      <w:tblPr>
        <w:tblStyle w:val="22"/>
        <w:tblW w:w="4997"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3007"/>
        <w:gridCol w:w="3008"/>
        <w:gridCol w:w="3009"/>
      </w:tblGrid>
      <w:tr w14:paraId="4173C2F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l2br w:val="nil"/>
            </w:tcBorders>
            <w:shd w:val="clear" w:color="auto" w:fill="FFFFFF"/>
            <w:tcMar>
              <w:top w:w="60" w:type="dxa"/>
              <w:left w:w="120" w:type="dxa"/>
              <w:bottom w:w="30" w:type="dxa"/>
              <w:right w:w="120" w:type="dxa"/>
            </w:tcMar>
            <w:vAlign w:val="center"/>
          </w:tcPr>
          <w:p w14:paraId="44C8DA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能耗分项</w:t>
            </w:r>
          </w:p>
        </w:tc>
        <w:tc>
          <w:tcPr>
            <w:tcW w:w="3008" w:type="dxa"/>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vAlign w:val="center"/>
          </w:tcPr>
          <w:p w14:paraId="483AAEE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年能耗（kWh/年）</w:t>
            </w:r>
          </w:p>
        </w:tc>
        <w:tc>
          <w:tcPr>
            <w:tcW w:w="3009" w:type="dxa"/>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vAlign w:val="center"/>
          </w:tcPr>
          <w:p w14:paraId="52489C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占比（%）</w:t>
            </w:r>
          </w:p>
        </w:tc>
      </w:tr>
      <w:tr w14:paraId="68950B8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cBorders>
            <w:shd w:val="clear" w:color="auto" w:fill="auto"/>
            <w:tcMar>
              <w:top w:w="60" w:type="dxa"/>
              <w:left w:w="120" w:type="dxa"/>
              <w:bottom w:w="30" w:type="dxa"/>
              <w:right w:w="120" w:type="dxa"/>
            </w:tcMar>
            <w:vAlign w:val="top"/>
          </w:tcPr>
          <w:p w14:paraId="44133F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空调供冷能耗</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60" w:type="dxa"/>
              <w:left w:w="120" w:type="dxa"/>
              <w:bottom w:w="30" w:type="dxa"/>
              <w:right w:w="120" w:type="dxa"/>
            </w:tcMar>
            <w:vAlign w:val="top"/>
          </w:tcPr>
          <w:p w14:paraId="0F6293D6">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51850</w:t>
            </w:r>
          </w:p>
        </w:tc>
        <w:tc>
          <w:tcPr>
            <w:tcW w:w="3009" w:type="dxa"/>
            <w:tcBorders>
              <w:top w:val="single" w:color="000000" w:sz="4" w:space="0"/>
              <w:left w:val="single" w:color="000000" w:sz="4" w:space="0"/>
              <w:bottom w:val="single" w:color="000000" w:sz="4" w:space="0"/>
              <w:right w:val="nil"/>
            </w:tcBorders>
            <w:shd w:val="clear" w:color="auto" w:fill="auto"/>
            <w:tcMar>
              <w:top w:w="60" w:type="dxa"/>
              <w:left w:w="120" w:type="dxa"/>
              <w:bottom w:w="30" w:type="dxa"/>
              <w:right w:w="120" w:type="dxa"/>
            </w:tcMar>
            <w:vAlign w:val="top"/>
          </w:tcPr>
          <w:p w14:paraId="44E005F1">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29.1</w:t>
            </w:r>
            <w:r>
              <w:rPr>
                <w:rFonts w:hint="eastAsia" w:ascii="宋体" w:hAnsi="宋体" w:eastAsia="宋体" w:cs="Courier New"/>
                <w:b w:val="0"/>
                <w:color w:val="000000"/>
                <w:kern w:val="0"/>
                <w:sz w:val="21"/>
                <w:szCs w:val="24"/>
                <w:lang w:val="en-US" w:eastAsia="zh-CN" w:bidi="ar-SA"/>
              </w:rPr>
              <w:t>%</w:t>
            </w:r>
          </w:p>
        </w:tc>
      </w:tr>
      <w:tr w14:paraId="6C5B2F2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cBorders>
            <w:shd w:val="clear" w:color="auto" w:fill="auto"/>
            <w:tcMar>
              <w:top w:w="60" w:type="dxa"/>
              <w:left w:w="120" w:type="dxa"/>
              <w:bottom w:w="30" w:type="dxa"/>
              <w:right w:w="120" w:type="dxa"/>
            </w:tcMar>
            <w:vAlign w:val="top"/>
          </w:tcPr>
          <w:p w14:paraId="083BF62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空调供暖能耗</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60" w:type="dxa"/>
              <w:left w:w="120" w:type="dxa"/>
              <w:bottom w:w="30" w:type="dxa"/>
              <w:right w:w="120" w:type="dxa"/>
            </w:tcMar>
            <w:vAlign w:val="top"/>
          </w:tcPr>
          <w:p w14:paraId="31786358">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24647</w:t>
            </w:r>
          </w:p>
        </w:tc>
        <w:tc>
          <w:tcPr>
            <w:tcW w:w="3009" w:type="dxa"/>
            <w:tcBorders>
              <w:top w:val="single" w:color="000000" w:sz="4" w:space="0"/>
              <w:left w:val="single" w:color="000000" w:sz="4" w:space="0"/>
              <w:bottom w:val="single" w:color="000000" w:sz="4" w:space="0"/>
              <w:right w:val="nil"/>
            </w:tcBorders>
            <w:shd w:val="clear" w:color="auto" w:fill="auto"/>
            <w:tcMar>
              <w:top w:w="60" w:type="dxa"/>
              <w:left w:w="120" w:type="dxa"/>
              <w:bottom w:w="30" w:type="dxa"/>
              <w:right w:w="120" w:type="dxa"/>
            </w:tcMar>
            <w:vAlign w:val="top"/>
          </w:tcPr>
          <w:p w14:paraId="482D56E7">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13.8</w:t>
            </w:r>
            <w:r>
              <w:rPr>
                <w:rFonts w:hint="eastAsia" w:ascii="宋体" w:hAnsi="宋体" w:eastAsia="宋体" w:cs="Courier New"/>
                <w:b w:val="0"/>
                <w:color w:val="000000"/>
                <w:kern w:val="0"/>
                <w:sz w:val="21"/>
                <w:szCs w:val="24"/>
                <w:lang w:val="en-US" w:eastAsia="zh-CN" w:bidi="ar-SA"/>
              </w:rPr>
              <w:t>%</w:t>
            </w:r>
          </w:p>
        </w:tc>
      </w:tr>
      <w:tr w14:paraId="656655F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cBorders>
            <w:shd w:val="clear" w:color="auto" w:fill="auto"/>
            <w:tcMar>
              <w:top w:w="60" w:type="dxa"/>
              <w:left w:w="120" w:type="dxa"/>
              <w:bottom w:w="30" w:type="dxa"/>
              <w:right w:w="120" w:type="dxa"/>
            </w:tcMar>
            <w:vAlign w:val="top"/>
          </w:tcPr>
          <w:p w14:paraId="0D45C3E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照明能耗</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60" w:type="dxa"/>
              <w:left w:w="120" w:type="dxa"/>
              <w:bottom w:w="30" w:type="dxa"/>
              <w:right w:w="120" w:type="dxa"/>
            </w:tcMar>
            <w:vAlign w:val="top"/>
          </w:tcPr>
          <w:p w14:paraId="6C40F531">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49648</w:t>
            </w:r>
          </w:p>
        </w:tc>
        <w:tc>
          <w:tcPr>
            <w:tcW w:w="3009" w:type="dxa"/>
            <w:tcBorders>
              <w:top w:val="single" w:color="000000" w:sz="4" w:space="0"/>
              <w:left w:val="single" w:color="000000" w:sz="4" w:space="0"/>
              <w:bottom w:val="single" w:color="000000" w:sz="4" w:space="0"/>
              <w:right w:val="nil"/>
            </w:tcBorders>
            <w:shd w:val="clear" w:color="auto" w:fill="auto"/>
            <w:tcMar>
              <w:top w:w="60" w:type="dxa"/>
              <w:left w:w="120" w:type="dxa"/>
              <w:bottom w:w="30" w:type="dxa"/>
              <w:right w:w="120" w:type="dxa"/>
            </w:tcMar>
            <w:vAlign w:val="top"/>
          </w:tcPr>
          <w:p w14:paraId="66B7737A">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27.8</w:t>
            </w:r>
            <w:r>
              <w:rPr>
                <w:rFonts w:hint="eastAsia" w:ascii="宋体" w:hAnsi="宋体" w:eastAsia="宋体" w:cs="Courier New"/>
                <w:b w:val="0"/>
                <w:color w:val="000000"/>
                <w:kern w:val="0"/>
                <w:sz w:val="21"/>
                <w:szCs w:val="24"/>
                <w:lang w:val="en-US" w:eastAsia="zh-CN" w:bidi="ar-SA"/>
              </w:rPr>
              <w:t>%</w:t>
            </w:r>
          </w:p>
        </w:tc>
      </w:tr>
      <w:tr w14:paraId="3E4F41D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cBorders>
            <w:shd w:val="clear" w:color="auto" w:fill="auto"/>
            <w:tcMar>
              <w:top w:w="60" w:type="dxa"/>
              <w:left w:w="120" w:type="dxa"/>
              <w:bottom w:w="30" w:type="dxa"/>
              <w:right w:w="120" w:type="dxa"/>
            </w:tcMar>
            <w:vAlign w:val="top"/>
          </w:tcPr>
          <w:p w14:paraId="3082B52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插座设备能耗</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60" w:type="dxa"/>
              <w:left w:w="120" w:type="dxa"/>
              <w:bottom w:w="30" w:type="dxa"/>
              <w:right w:w="120" w:type="dxa"/>
            </w:tcMar>
            <w:vAlign w:val="top"/>
          </w:tcPr>
          <w:p w14:paraId="3030A07D">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52233</w:t>
            </w:r>
          </w:p>
        </w:tc>
        <w:tc>
          <w:tcPr>
            <w:tcW w:w="3009" w:type="dxa"/>
            <w:tcBorders>
              <w:top w:val="single" w:color="000000" w:sz="4" w:space="0"/>
              <w:left w:val="single" w:color="000000" w:sz="4" w:space="0"/>
              <w:bottom w:val="single" w:color="000000" w:sz="4" w:space="0"/>
              <w:right w:val="nil"/>
            </w:tcBorders>
            <w:shd w:val="clear" w:color="auto" w:fill="auto"/>
            <w:tcMar>
              <w:top w:w="60" w:type="dxa"/>
              <w:left w:w="120" w:type="dxa"/>
              <w:bottom w:w="30" w:type="dxa"/>
              <w:right w:w="120" w:type="dxa"/>
            </w:tcMar>
            <w:vAlign w:val="top"/>
          </w:tcPr>
          <w:p w14:paraId="77461FD8">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29.3</w:t>
            </w:r>
            <w:r>
              <w:rPr>
                <w:rFonts w:hint="eastAsia" w:ascii="宋体" w:hAnsi="宋体" w:eastAsia="宋体" w:cs="Courier New"/>
                <w:b w:val="0"/>
                <w:color w:val="000000"/>
                <w:kern w:val="0"/>
                <w:sz w:val="21"/>
                <w:szCs w:val="24"/>
                <w:lang w:val="en-US" w:eastAsia="zh-CN" w:bidi="ar-SA"/>
              </w:rPr>
              <w:t>%</w:t>
            </w:r>
          </w:p>
        </w:tc>
      </w:tr>
      <w:tr w14:paraId="29188BD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cBorders>
            <w:shd w:val="clear" w:color="auto" w:fill="auto"/>
            <w:tcMar>
              <w:top w:w="60" w:type="dxa"/>
              <w:left w:w="120" w:type="dxa"/>
              <w:bottom w:w="30" w:type="dxa"/>
              <w:right w:w="120" w:type="dxa"/>
            </w:tcMar>
            <w:vAlign w:val="top"/>
          </w:tcPr>
          <w:p w14:paraId="6A50DE1C">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光伏系统</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60" w:type="dxa"/>
              <w:left w:w="120" w:type="dxa"/>
              <w:bottom w:w="30" w:type="dxa"/>
              <w:right w:w="120" w:type="dxa"/>
            </w:tcMar>
            <w:vAlign w:val="top"/>
          </w:tcPr>
          <w:p w14:paraId="02B75FEA">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37131</w:t>
            </w:r>
          </w:p>
        </w:tc>
        <w:tc>
          <w:tcPr>
            <w:tcW w:w="3009" w:type="dxa"/>
            <w:tcBorders>
              <w:top w:val="single" w:color="000000" w:sz="4" w:space="0"/>
              <w:left w:val="single" w:color="000000" w:sz="4" w:space="0"/>
              <w:bottom w:val="single" w:color="000000" w:sz="4" w:space="0"/>
              <w:right w:val="nil"/>
            </w:tcBorders>
            <w:shd w:val="clear" w:color="auto" w:fill="auto"/>
            <w:tcMar>
              <w:top w:w="60" w:type="dxa"/>
              <w:left w:w="120" w:type="dxa"/>
              <w:bottom w:w="30" w:type="dxa"/>
              <w:right w:w="120" w:type="dxa"/>
            </w:tcMar>
            <w:vAlign w:val="top"/>
          </w:tcPr>
          <w:p w14:paraId="1A6E8EC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r>
      <w:tr w14:paraId="5049954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3007" w:type="dxa"/>
            <w:tcBorders>
              <w:top w:val="single" w:color="000000" w:sz="4" w:space="0"/>
              <w:left w:val="nil"/>
              <w:bottom w:val="single" w:color="000000" w:sz="4" w:space="0"/>
              <w:right w:val="single" w:color="000000" w:sz="4" w:space="0"/>
            </w:tcBorders>
            <w:shd w:val="clear" w:color="auto" w:fill="auto"/>
            <w:tcMar>
              <w:top w:w="60" w:type="dxa"/>
              <w:left w:w="120" w:type="dxa"/>
              <w:bottom w:w="30" w:type="dxa"/>
              <w:right w:w="120" w:type="dxa"/>
            </w:tcMar>
            <w:vAlign w:val="top"/>
          </w:tcPr>
          <w:p w14:paraId="7EE8563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合计</w:t>
            </w:r>
          </w:p>
        </w:tc>
        <w:tc>
          <w:tcPr>
            <w:tcW w:w="3008" w:type="dxa"/>
            <w:tcBorders>
              <w:top w:val="single" w:color="000000" w:sz="4" w:space="0"/>
              <w:left w:val="single" w:color="000000" w:sz="4" w:space="0"/>
              <w:bottom w:val="single" w:color="000000" w:sz="4" w:space="0"/>
              <w:right w:val="single" w:color="000000" w:sz="4" w:space="0"/>
            </w:tcBorders>
            <w:shd w:val="clear" w:color="auto" w:fill="auto"/>
            <w:tcMar>
              <w:top w:w="60" w:type="dxa"/>
              <w:left w:w="120" w:type="dxa"/>
              <w:bottom w:w="30" w:type="dxa"/>
              <w:right w:w="120" w:type="dxa"/>
            </w:tcMar>
            <w:vAlign w:val="top"/>
          </w:tcPr>
          <w:p w14:paraId="35FCCC84">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178378</w:t>
            </w:r>
          </w:p>
        </w:tc>
        <w:tc>
          <w:tcPr>
            <w:tcW w:w="3009" w:type="dxa"/>
            <w:tcBorders>
              <w:top w:val="single" w:color="000000" w:sz="4" w:space="0"/>
              <w:left w:val="single" w:color="000000" w:sz="4" w:space="0"/>
              <w:bottom w:val="single" w:color="000000" w:sz="4" w:space="0"/>
              <w:right w:val="nil"/>
            </w:tcBorders>
            <w:shd w:val="clear" w:color="auto" w:fill="auto"/>
            <w:tcMar>
              <w:top w:w="60" w:type="dxa"/>
              <w:left w:w="120" w:type="dxa"/>
              <w:bottom w:w="30" w:type="dxa"/>
              <w:right w:w="120" w:type="dxa"/>
            </w:tcMar>
            <w:vAlign w:val="top"/>
          </w:tcPr>
          <w:p w14:paraId="7A7A635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r>
    </w:tbl>
    <w:p w14:paraId="172112A4">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空调系统能耗（供冷+供暖）：占比约42.9%。项目位于安徽安庆（夏热冬冷地区），供冷需求较高（占29.1%），供暖需求次之（占13.8%）。</w:t>
      </w:r>
    </w:p>
    <w:p w14:paraId="4747AC83">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照明能耗：占比约27.8%，为第三大能耗项，受建筑使用时间及灯具功率影响。</w:t>
      </w:r>
    </w:p>
    <w:p w14:paraId="010E2E0A">
      <w:pPr>
        <w:widowControl w:val="0"/>
        <w:tabs>
          <w:tab w:val="left" w:pos="3472"/>
          <w:tab w:val="clear" w:pos="377"/>
        </w:tabs>
        <w:spacing w:line="400" w:lineRule="exact"/>
        <w:ind w:firstLine="472" w:firstLineChars="200"/>
      </w:pPr>
      <w:r>
        <w:rPr>
          <w:rFonts w:hint="eastAsia" w:ascii="宋体" w:hAnsi="宋体" w:eastAsia="宋体" w:cs="Times New Roman"/>
          <w:spacing w:val="-2"/>
          <w:kern w:val="2"/>
          <w:sz w:val="24"/>
          <w:lang w:val="en-US" w:eastAsia="zh-CN"/>
        </w:rPr>
        <w:t>设备能耗：占比约29.3%，主要包括插座设备用电（如电器、家电等），受设备使用率和待机能耗影响显著。</w:t>
      </w:r>
    </w:p>
    <w:p w14:paraId="5CB1B542">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jc w:val="center"/>
        <w:textAlignment w:val="auto"/>
      </w:pPr>
      <w:r>
        <w:rPr>
          <w:lang w:val="en-US"/>
        </w:rPr>
        <w:drawing>
          <wp:inline distT="0" distB="0" distL="0" distR="0">
            <wp:extent cx="4991100" cy="42195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0"/>
                    <a:stretch>
                      <a:fillRect/>
                    </a:stretch>
                  </pic:blipFill>
                  <pic:spPr>
                    <a:xfrm>
                      <a:off x="0" y="0"/>
                      <a:ext cx="4991624" cy="4220018"/>
                    </a:xfrm>
                    <a:prstGeom prst="rect">
                      <a:avLst/>
                    </a:prstGeom>
                  </pic:spPr>
                </pic:pic>
              </a:graphicData>
            </a:graphic>
          </wp:inline>
        </w:drawing>
      </w:r>
    </w:p>
    <w:p w14:paraId="0BA718E2">
      <w:pPr>
        <w:kinsoku w:val="0"/>
        <w:spacing w:line="400" w:lineRule="atLeast"/>
        <w:ind w:firstLine="0" w:firstLineChars="0"/>
        <w:jc w:val="center"/>
        <w:rPr>
          <w:rFonts w:hint="default"/>
          <w:lang w:val="en-US" w:eastAsia="zh-CN"/>
        </w:rPr>
      </w:pPr>
      <w:r>
        <w:rPr>
          <w:rFonts w:hint="eastAsia" w:ascii="宋体" w:hAnsi="宋体" w:eastAsia="宋体" w:cs="Times New Roman"/>
          <w:kern w:val="2"/>
          <w:sz w:val="21"/>
          <w:szCs w:val="21"/>
          <w:lang w:val="en-US" w:eastAsia="zh-CN" w:bidi="ar-SA"/>
        </w:rPr>
        <w:t>图</w:t>
      </w:r>
      <w:r>
        <w:rPr>
          <w:rFonts w:hint="eastAsia" w:ascii="宋体" w:hAnsi="宋体" w:cs="Times New Roman"/>
          <w:kern w:val="2"/>
          <w:sz w:val="21"/>
          <w:szCs w:val="21"/>
          <w:lang w:val="en-US" w:eastAsia="zh-CN" w:bidi="ar-SA"/>
        </w:rPr>
        <w:t>3</w:t>
      </w:r>
      <w:r>
        <w:rPr>
          <w:rFonts w:hint="eastAsia" w:ascii="宋体" w:hAnsi="宋体" w:eastAsia="宋体" w:cs="Times New Roman"/>
          <w:kern w:val="2"/>
          <w:sz w:val="21"/>
          <w:szCs w:val="21"/>
          <w:lang w:val="en-US" w:eastAsia="zh-CN" w:bidi="ar-SA"/>
        </w:rPr>
        <w:t>-</w:t>
      </w:r>
      <w:r>
        <w:rPr>
          <w:rFonts w:hint="eastAsia" w:ascii="宋体" w:hAnsi="宋体" w:cs="Times New Roman"/>
          <w:kern w:val="2"/>
          <w:sz w:val="21"/>
          <w:szCs w:val="21"/>
          <w:lang w:val="en-US" w:eastAsia="zh-CN" w:bidi="ar-SA"/>
        </w:rPr>
        <w:t>1</w:t>
      </w:r>
      <w:r>
        <w:rPr>
          <w:rFonts w:hint="eastAsia" w:ascii="宋体" w:hAnsi="宋体" w:eastAsia="宋体" w:cs="Times New Roman"/>
          <w:kern w:val="2"/>
          <w:sz w:val="21"/>
          <w:szCs w:val="21"/>
          <w:lang w:val="en-US" w:eastAsia="zh-CN" w:bidi="ar-SA"/>
        </w:rPr>
        <w:t xml:space="preserve">  </w:t>
      </w:r>
      <w:r>
        <w:rPr>
          <w:rFonts w:hint="eastAsia" w:ascii="宋体" w:hAnsi="宋体" w:cs="Times New Roman"/>
          <w:kern w:val="2"/>
          <w:sz w:val="21"/>
          <w:szCs w:val="21"/>
          <w:lang w:val="en-US" w:eastAsia="zh-CN" w:bidi="ar-SA"/>
        </w:rPr>
        <w:t>能耗构成表</w:t>
      </w:r>
    </w:p>
    <w:p w14:paraId="46AD6233">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85" w:name="_Toc8984"/>
      <w:r>
        <w:rPr>
          <w:rFonts w:hint="eastAsia" w:ascii="宋体" w:hAnsi="宋体" w:cs="Arial"/>
          <w:b/>
          <w:bCs/>
          <w:kern w:val="2"/>
          <w:sz w:val="24"/>
          <w:szCs w:val="21"/>
          <w:lang w:val="en-US" w:eastAsia="zh-CN" w:bidi="ar-SA"/>
        </w:rPr>
        <w:t>采光模拟分析</w:t>
      </w:r>
      <w:bookmarkEnd w:id="85"/>
    </w:p>
    <w:p w14:paraId="44332BED">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根据《建筑采光设计标准》GB 50033-2013、《建筑环境通用规范》GB 55016-2021要求，本项目需计算建筑内主要功能房间的平均采光系数。一层计算结果见下表：</w:t>
      </w:r>
    </w:p>
    <w:p w14:paraId="462E6118">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表3-2  采光分析表</w:t>
      </w:r>
    </w:p>
    <w:tbl>
      <w:tblPr>
        <w:tblStyle w:val="22"/>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50"/>
        <w:gridCol w:w="2030"/>
        <w:gridCol w:w="1301"/>
        <w:gridCol w:w="627"/>
        <w:gridCol w:w="791"/>
        <w:gridCol w:w="887"/>
        <w:gridCol w:w="906"/>
        <w:gridCol w:w="1101"/>
        <w:gridCol w:w="807"/>
      </w:tblGrid>
      <w:tr w14:paraId="09177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tcBorders>
              <w:top w:val="single" w:color="000000" w:sz="4" w:space="0"/>
              <w:left w:val="nil"/>
              <w:bottom w:val="single" w:color="000000" w:sz="4" w:space="0"/>
              <w:right w:val="single" w:color="000000" w:sz="4" w:space="0"/>
              <w:tl2br w:val="nil"/>
            </w:tcBorders>
            <w:shd w:val="clear" w:color="auto" w:fill="FFFFFF"/>
            <w:vAlign w:val="center"/>
          </w:tcPr>
          <w:p w14:paraId="22837D8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楼层</w:t>
            </w: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11745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C8BB5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对标功能</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04167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采光等级</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B1D4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采光类型</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4BEEF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房间面积</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2F74B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采光系数C(%)</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11E3F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采光系数</w:t>
            </w:r>
            <w:r>
              <w:rPr>
                <w:rFonts w:hint="eastAsia" w:ascii="宋体" w:hAnsi="宋体" w:eastAsia="宋体" w:cs="Courier New"/>
                <w:b w:val="0"/>
                <w:color w:val="000000"/>
                <w:kern w:val="0"/>
                <w:sz w:val="21"/>
                <w:szCs w:val="24"/>
                <w:lang w:val="en-US" w:eastAsia="zh-CN" w:bidi="ar-SA"/>
              </w:rPr>
              <w:br w:type="textWrapping"/>
            </w:r>
            <w:r>
              <w:rPr>
                <w:rFonts w:hint="eastAsia" w:ascii="宋体" w:hAnsi="宋体" w:eastAsia="宋体" w:cs="Courier New"/>
                <w:b w:val="0"/>
                <w:color w:val="000000"/>
                <w:kern w:val="0"/>
                <w:sz w:val="21"/>
                <w:szCs w:val="24"/>
                <w:lang w:val="en-US" w:eastAsia="zh-CN" w:bidi="ar-SA"/>
              </w:rPr>
              <w:t>标准值(%)</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3F2D56E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结论</w:t>
            </w:r>
          </w:p>
        </w:tc>
      </w:tr>
      <w:tr w14:paraId="2AB4C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restart"/>
            <w:tcBorders>
              <w:top w:val="single" w:color="000000" w:sz="4" w:space="0"/>
              <w:left w:val="nil"/>
              <w:bottom w:val="single" w:color="000000" w:sz="4" w:space="0"/>
              <w:right w:val="single" w:color="000000" w:sz="4" w:space="0"/>
            </w:tcBorders>
            <w:shd w:val="clear" w:color="auto" w:fill="FFFFFF"/>
            <w:vAlign w:val="center"/>
          </w:tcPr>
          <w:p w14:paraId="34BB9E5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w:t>
            </w: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561AB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1001[普通教室]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05B79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38877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9A90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B6DFD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132.12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FAF91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3.91</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94F27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3E54770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47B67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4CDE5EF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BBBE9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1002[普通教室]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5DB4B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9708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F1911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267FE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FD4E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3.79</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24F0D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328F9C3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56710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22CD8FB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54B0F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1003[普通教室]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DFEB9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870D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7251F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B1121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804E6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3.76</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38841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0E58DAB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3A794A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510CDC1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88545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1004[普通教室]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44B2E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B6F68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DA705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ED68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21A8D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3.51</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4C796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2F904B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6BE5C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7605BB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7895F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1005[普通教室]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99C20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1068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915C5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32CC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66.53</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21DDD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3.67</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4414C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4F2B1BC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29EBA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53A15C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DBE7D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1006[普通教室]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78F7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1F346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D4BA3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C0D7C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A6FB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3.87</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62CCE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61AA60C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642ED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7254C6C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FB8E7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1007[普通教室]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42E16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331D2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0473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8A4EC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95C67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3.78</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2FA17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16AA271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1EEDB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40DC49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2CB1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1008[普通教室]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3E651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CC04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C87B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C1E5B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65.15</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FC77D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3.48</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5227F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641DA8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6A1BAD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4C626DA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D91EF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1009[普通教室]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371A1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D3507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32D9D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B5FD4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59268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3.71</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17B7D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661002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50D70A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restart"/>
            <w:tcBorders>
              <w:top w:val="single" w:color="000000" w:sz="4" w:space="0"/>
              <w:left w:val="nil"/>
              <w:bottom w:val="single" w:color="000000" w:sz="4" w:space="0"/>
              <w:right w:val="single" w:color="000000" w:sz="4" w:space="0"/>
            </w:tcBorders>
            <w:shd w:val="clear" w:color="auto" w:fill="FFFFFF"/>
            <w:vAlign w:val="center"/>
          </w:tcPr>
          <w:p w14:paraId="304B0CB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w:t>
            </w: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1C0D8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2001[普通教室]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25C4D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764C1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315C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1841B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AF6E0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3.57</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12577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15E8EB0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10913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6D48005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A8C8A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2002[普通教室]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BE713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7EC3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7D692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5303D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9ACE6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3.48</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3ECD8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7D790E8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4C127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147C8F7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BFC4F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2003[普通教室]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874B9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A5C7B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0485C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E2A6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83EA8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3.70</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662ED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3862D10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0E51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33AFB07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DC34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2004[普通教室]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5EA1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8EDA0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DAD87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4DFA6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D1B9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3.66</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7F0B8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3F3304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C0EE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522130E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CEB35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2005[普通教室]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2D9DF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B13F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3763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00CF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D0947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3.80</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F9AD5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483FA3E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0DE26A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1A9C72A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1B07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2006[普通教室]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581CD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DB61A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4FDF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58E4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E4267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3.52</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6B272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31AAAA1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04FF8E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5C90AD9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2A3DA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2007[普通教室]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13966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8CF20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BEA8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EC4F8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EF250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3.36</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2F8A3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11489D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57F60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1137054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18CB9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2008[普通教室]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3C8F0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3BF5E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639A3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C86FEE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ED99C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3.67</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AD672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659B1A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1843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1330235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64CA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2009[普通教室]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B4584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1D1ED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1289D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9234C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ACC37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3.57</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BB789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5BE718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3BF1D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2316D2D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FFE4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2010[普通教室]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BD74C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AE36D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7E28C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0C181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78617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3.55</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5C203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7910FB9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2E97A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1417223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2232D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2014[普通办公室]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4D2FF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教师办公室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0E13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0128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混合</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9606B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19.20</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189D5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2.80</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B067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2.20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71D270E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65D2D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restart"/>
            <w:tcBorders>
              <w:top w:val="single" w:color="000000" w:sz="4" w:space="0"/>
              <w:left w:val="nil"/>
              <w:bottom w:val="single" w:color="000000" w:sz="4" w:space="0"/>
              <w:right w:val="single" w:color="000000" w:sz="4" w:space="0"/>
            </w:tcBorders>
            <w:shd w:val="clear" w:color="auto" w:fill="FFFFFF"/>
            <w:vAlign w:val="center"/>
          </w:tcPr>
          <w:p w14:paraId="5E346AC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w:t>
            </w: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40E0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3001[普通教室]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8351A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E0430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D1DCA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4BD5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7F5A3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3.68</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0408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6FCFB31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5A967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0197C8D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337D7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3002[普通教室]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6FD7E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9640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43DF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3348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BDE5D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3.78</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984E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7AE2E0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6CEFC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6A2E9BF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D71EB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3003[普通教室]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88CB6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7F4D9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1E059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8A5B5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CC226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3.75</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234D0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0DA78D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1AEC4D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351B5B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0D76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3004[普通教室]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B71A9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0C2B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BE647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9BB33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4B798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3.56</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20F5A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4215E5A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165CF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2EB7AD6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4F440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3005[普通教室]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573EE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12333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56BB3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ABF48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DA98B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3.69</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9AC0E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5D3A643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1FC2E0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34A0BC4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F757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3006[普通教室]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9B4E5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D46C4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EACA8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E8AF2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A353C1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3.93</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B4938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0AE3CC0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26E44D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6B4C851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A20B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3007[普通教室]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0665B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ECC5D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3E86C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3EDE7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1A847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3.74</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2B549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741FFBC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13447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13A9EEA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E6A96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3008[普通教室]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122D3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53C15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37C20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9B05C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65.15</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36B9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3.58</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6A008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7835BC3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1A439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1FEA5D9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F3E0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3009[普通教室]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F65BA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50C5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0576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E12F5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C19C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3.78</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8A50D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0C3522B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1B085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2F51CFE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E2D1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3010[普通教室]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86E5A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11BE4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1B522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F2256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35692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3.75</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4AA3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5DDD0E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439C1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58FABF1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2502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3014[普通办公室]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C55E7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教师办公室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EE64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98DA0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混合</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5702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19.20</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5BC0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2.73</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FA254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2.20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7094D89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648092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restart"/>
            <w:tcBorders>
              <w:top w:val="single" w:color="000000" w:sz="4" w:space="0"/>
              <w:left w:val="nil"/>
              <w:bottom w:val="single" w:color="000000" w:sz="4" w:space="0"/>
              <w:right w:val="single" w:color="000000" w:sz="4" w:space="0"/>
            </w:tcBorders>
            <w:shd w:val="clear" w:color="auto" w:fill="FFFFFF"/>
            <w:vAlign w:val="center"/>
          </w:tcPr>
          <w:p w14:paraId="16E3F2E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w:t>
            </w: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37381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4001[普通教室]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2C9D4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9AAED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55F6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6EE4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58877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3.80</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07FE3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105ADC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78A4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2EA75D1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1DF84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4002[普通教室]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16E5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2BA3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B82F2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混合</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FA719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66.83</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83542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3.05</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CDCE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2.20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2E99DA3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1D755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4FDD7E6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F3FC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4003[普通教室]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4FB0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BAFB7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E6AA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3D2ACF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AC8AE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3.92</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ECDEB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666AB94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0D83D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206493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C2D0E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4004[普通教室]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F082A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C53A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C8CC0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91203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66.78</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CD729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3.85</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EA9A7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60C7BE1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10A7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0B178E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8D9EC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4005[普通教室]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9D686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41826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25B42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A47CC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157CC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3.87</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E9D26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07AE45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4339C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357526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54C8C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4006[普通教室]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1920A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F76E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F2D5E3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7844A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8CB68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4.07</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B8165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361C8F0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5E944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727A003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89C35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4007[普通教室]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A37623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A3492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7357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5DBA03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65.15</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52C57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3.77</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97ECD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7AE850B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0A782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03CB7A2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7A192A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4008[普通教室]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8C2A4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C0C94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C5E01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F9B79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5BDA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3.86</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E397E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45E82DF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A826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2BE6A63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3385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4009[普通教室]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95BE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3E5F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37D43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35EF7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65.46</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46BD96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3.77</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D7427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4569550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5E1F6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1A73ACA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FB1FC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4010[普通教室]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51709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2E2B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102A6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侧面</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994CA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65.42</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4C8B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3.95</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60D9B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3.30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7EA20CA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2BE01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05" w:type="pct"/>
            <w:vMerge w:val="continue"/>
            <w:tcBorders>
              <w:top w:val="single" w:color="000000" w:sz="4" w:space="0"/>
              <w:left w:val="nil"/>
              <w:bottom w:val="single" w:color="000000" w:sz="4" w:space="0"/>
              <w:right w:val="single" w:color="000000" w:sz="4" w:space="0"/>
            </w:tcBorders>
            <w:shd w:val="clear" w:color="auto" w:fill="FFFFFF"/>
            <w:vAlign w:val="center"/>
          </w:tcPr>
          <w:p w14:paraId="21C9BC2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D8AAF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4014[普通办公室]</w:t>
            </w:r>
          </w:p>
        </w:tc>
        <w:tc>
          <w:tcPr>
            <w:tcW w:w="72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43F78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教师办公室</w:t>
            </w:r>
          </w:p>
        </w:tc>
        <w:tc>
          <w:tcPr>
            <w:tcW w:w="34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99CAE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III</w:t>
            </w:r>
          </w:p>
        </w:tc>
        <w:tc>
          <w:tcPr>
            <w:tcW w:w="43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8FADD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混合</w:t>
            </w:r>
          </w:p>
        </w:tc>
        <w:tc>
          <w:tcPr>
            <w:tcW w:w="4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52A1B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19.20</w:t>
            </w:r>
          </w:p>
        </w:tc>
        <w:tc>
          <w:tcPr>
            <w:tcW w:w="50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55B8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2.95</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CFB6E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2.20</w:t>
            </w:r>
          </w:p>
        </w:tc>
        <w:tc>
          <w:tcPr>
            <w:tcW w:w="448" w:type="pct"/>
            <w:tcBorders>
              <w:top w:val="single" w:color="000000" w:sz="4" w:space="0"/>
              <w:left w:val="single" w:color="000000" w:sz="4" w:space="0"/>
              <w:bottom w:val="single" w:color="000000" w:sz="4" w:space="0"/>
              <w:right w:val="nil"/>
            </w:tcBorders>
            <w:shd w:val="clear" w:color="auto" w:fill="FFFFFF"/>
            <w:vAlign w:val="center"/>
          </w:tcPr>
          <w:p w14:paraId="343BF69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bl>
    <w:p w14:paraId="4BD3C18A">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采光系数分析彩图可以直观地反应建筑内各个房间的采光效果，</w:t>
      </w:r>
      <w:r>
        <w:rPr>
          <w:rFonts w:hint="eastAsia" w:ascii="宋体" w:hAnsi="宋体" w:cs="Times New Roman"/>
          <w:spacing w:val="-2"/>
          <w:kern w:val="2"/>
          <w:sz w:val="24"/>
          <w:lang w:val="en-US" w:eastAsia="zh-CN"/>
        </w:rPr>
        <w:t>各</w:t>
      </w:r>
      <w:r>
        <w:rPr>
          <w:rFonts w:hint="eastAsia" w:ascii="宋体" w:hAnsi="宋体" w:eastAsia="宋体" w:cs="Times New Roman"/>
          <w:spacing w:val="-2"/>
          <w:kern w:val="2"/>
          <w:sz w:val="24"/>
          <w:lang w:val="en-US" w:eastAsia="zh-CN"/>
        </w:rPr>
        <w:t>层的室内采光情况如下所示：</w:t>
      </w:r>
    </w:p>
    <w:p w14:paraId="41506873">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lang w:val="en-US" w:eastAsia="zh-CN"/>
        </w:rPr>
        <w:drawing>
          <wp:inline distT="0" distB="0" distL="0" distR="0">
            <wp:extent cx="4545965" cy="4018915"/>
            <wp:effectExtent l="0" t="0" r="698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1"/>
                    <a:stretch>
                      <a:fillRect/>
                    </a:stretch>
                  </pic:blipFill>
                  <pic:spPr>
                    <a:xfrm>
                      <a:off x="0" y="0"/>
                      <a:ext cx="4545965" cy="4018915"/>
                    </a:xfrm>
                    <a:prstGeom prst="rect">
                      <a:avLst/>
                    </a:prstGeom>
                  </pic:spPr>
                </pic:pic>
              </a:graphicData>
            </a:graphic>
          </wp:inline>
        </w:drawing>
      </w:r>
    </w:p>
    <w:p w14:paraId="3E61A9B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Times New Roman"/>
          <w:kern w:val="2"/>
          <w:sz w:val="21"/>
          <w:szCs w:val="24"/>
          <w:lang w:val="en-US" w:eastAsia="zh-CN"/>
        </w:rPr>
      </w:pPr>
      <w:r>
        <w:rPr>
          <w:rFonts w:hint="eastAsia" w:ascii="宋体" w:hAnsi="宋体" w:cs="Times New Roman"/>
          <w:kern w:val="2"/>
          <w:sz w:val="21"/>
          <w:szCs w:val="24"/>
          <w:lang w:val="en-US" w:eastAsia="zh-CN"/>
        </w:rPr>
        <w:t>（a）一层室内采光效果</w:t>
      </w:r>
    </w:p>
    <w:p w14:paraId="4CE1CA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lang w:val="en-US" w:eastAsia="zh-CN"/>
        </w:rPr>
      </w:pPr>
      <w:r>
        <w:rPr>
          <w:rFonts w:hint="eastAsia"/>
          <w:lang w:val="en-US" w:eastAsia="zh-CN"/>
        </w:rPr>
        <w:drawing>
          <wp:inline distT="0" distB="0" distL="0" distR="0">
            <wp:extent cx="4381500" cy="3873500"/>
            <wp:effectExtent l="0" t="0" r="0" b="317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2"/>
                    <a:stretch>
                      <a:fillRect/>
                    </a:stretch>
                  </pic:blipFill>
                  <pic:spPr>
                    <a:xfrm>
                      <a:off x="0" y="0"/>
                      <a:ext cx="4381500" cy="3873500"/>
                    </a:xfrm>
                    <a:prstGeom prst="rect">
                      <a:avLst/>
                    </a:prstGeom>
                  </pic:spPr>
                </pic:pic>
              </a:graphicData>
            </a:graphic>
          </wp:inline>
        </w:drawing>
      </w:r>
    </w:p>
    <w:p w14:paraId="7A42A43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Times New Roman"/>
          <w:kern w:val="2"/>
          <w:sz w:val="21"/>
          <w:szCs w:val="24"/>
          <w:lang w:val="en-US" w:eastAsia="zh-CN"/>
        </w:rPr>
      </w:pPr>
      <w:r>
        <w:rPr>
          <w:rFonts w:hint="eastAsia" w:ascii="宋体" w:hAnsi="宋体" w:cs="Times New Roman"/>
          <w:kern w:val="2"/>
          <w:sz w:val="21"/>
          <w:szCs w:val="24"/>
          <w:lang w:val="en-US" w:eastAsia="zh-CN"/>
        </w:rPr>
        <w:t>（b）二层室内采光效果</w:t>
      </w:r>
    </w:p>
    <w:p w14:paraId="61A904A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lang w:val="en-US" w:eastAsia="zh-CN"/>
        </w:rPr>
      </w:pPr>
      <w:r>
        <w:rPr>
          <w:rFonts w:hint="eastAsia"/>
          <w:lang w:val="en-US" w:eastAsia="zh-CN"/>
        </w:rPr>
        <w:drawing>
          <wp:inline distT="0" distB="0" distL="0" distR="0">
            <wp:extent cx="4123055" cy="3644900"/>
            <wp:effectExtent l="0" t="0" r="1270" b="317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3"/>
                    <a:stretch>
                      <a:fillRect/>
                    </a:stretch>
                  </pic:blipFill>
                  <pic:spPr>
                    <a:xfrm>
                      <a:off x="0" y="0"/>
                      <a:ext cx="4123055" cy="3644900"/>
                    </a:xfrm>
                    <a:prstGeom prst="rect">
                      <a:avLst/>
                    </a:prstGeom>
                  </pic:spPr>
                </pic:pic>
              </a:graphicData>
            </a:graphic>
          </wp:inline>
        </w:drawing>
      </w:r>
    </w:p>
    <w:p w14:paraId="78E7654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Times New Roman"/>
          <w:kern w:val="2"/>
          <w:sz w:val="21"/>
          <w:szCs w:val="24"/>
          <w:lang w:val="en-US" w:eastAsia="zh-CN"/>
        </w:rPr>
      </w:pPr>
      <w:r>
        <w:rPr>
          <w:rFonts w:hint="eastAsia" w:ascii="宋体" w:hAnsi="宋体" w:cs="Times New Roman"/>
          <w:kern w:val="2"/>
          <w:sz w:val="21"/>
          <w:szCs w:val="24"/>
          <w:lang w:val="en-US" w:eastAsia="zh-CN"/>
        </w:rPr>
        <w:t>（c）三层室内采光效果</w:t>
      </w:r>
    </w:p>
    <w:p w14:paraId="08E32EC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center"/>
        <w:textAlignment w:val="auto"/>
        <w:rPr>
          <w:rFonts w:hint="eastAsia"/>
          <w:lang w:val="en-US" w:eastAsia="zh-CN"/>
        </w:rPr>
      </w:pPr>
      <w:r>
        <w:rPr>
          <w:rFonts w:hint="eastAsia"/>
          <w:lang w:val="en-US" w:eastAsia="zh-CN"/>
        </w:rPr>
        <w:drawing>
          <wp:inline distT="0" distB="0" distL="0" distR="0">
            <wp:extent cx="4429125" cy="3915410"/>
            <wp:effectExtent l="0" t="0" r="0" b="889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4"/>
                    <a:stretch>
                      <a:fillRect/>
                    </a:stretch>
                  </pic:blipFill>
                  <pic:spPr>
                    <a:xfrm>
                      <a:off x="0" y="0"/>
                      <a:ext cx="4429125" cy="3915410"/>
                    </a:xfrm>
                    <a:prstGeom prst="rect">
                      <a:avLst/>
                    </a:prstGeom>
                  </pic:spPr>
                </pic:pic>
              </a:graphicData>
            </a:graphic>
          </wp:inline>
        </w:drawing>
      </w:r>
    </w:p>
    <w:p w14:paraId="7D4714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宋体" w:hAnsi="宋体" w:cs="Times New Roman"/>
          <w:kern w:val="2"/>
          <w:sz w:val="21"/>
          <w:szCs w:val="24"/>
          <w:lang w:val="en-US" w:eastAsia="zh-CN"/>
        </w:rPr>
      </w:pPr>
      <w:r>
        <w:rPr>
          <w:rFonts w:hint="eastAsia" w:ascii="宋体" w:hAnsi="宋体" w:cs="Times New Roman"/>
          <w:kern w:val="2"/>
          <w:sz w:val="21"/>
          <w:szCs w:val="24"/>
          <w:lang w:val="en-US" w:eastAsia="zh-CN"/>
        </w:rPr>
        <w:t>（d）四层室内采光效果</w:t>
      </w:r>
    </w:p>
    <w:p w14:paraId="4479A8E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Times New Roman"/>
          <w:spacing w:val="-2"/>
          <w:kern w:val="2"/>
          <w:sz w:val="24"/>
          <w:lang w:val="en-US" w:eastAsia="zh-CN"/>
        </w:rPr>
      </w:pPr>
      <w:r>
        <w:rPr>
          <w:rFonts w:hint="eastAsia" w:ascii="宋体" w:hAnsi="宋体" w:eastAsia="宋体" w:cs="Times New Roman"/>
          <w:kern w:val="2"/>
          <w:sz w:val="21"/>
          <w:szCs w:val="24"/>
          <w:lang w:val="en-US" w:eastAsia="zh-CN"/>
        </w:rPr>
        <w:t>图</w:t>
      </w:r>
      <w:r>
        <w:rPr>
          <w:rFonts w:hint="eastAsia" w:ascii="宋体" w:hAnsi="宋体" w:cs="Times New Roman"/>
          <w:kern w:val="2"/>
          <w:sz w:val="21"/>
          <w:szCs w:val="24"/>
          <w:lang w:val="en-US" w:eastAsia="zh-CN"/>
        </w:rPr>
        <w:t>3</w:t>
      </w:r>
      <w:r>
        <w:rPr>
          <w:rFonts w:hint="eastAsia" w:ascii="宋体" w:hAnsi="宋体" w:eastAsia="宋体" w:cs="Times New Roman"/>
          <w:kern w:val="2"/>
          <w:sz w:val="21"/>
          <w:szCs w:val="24"/>
          <w:lang w:val="en-US" w:eastAsia="zh-CN"/>
        </w:rPr>
        <w:t>-</w:t>
      </w:r>
      <w:r>
        <w:rPr>
          <w:rFonts w:hint="eastAsia" w:ascii="宋体" w:hAnsi="宋体" w:cs="Times New Roman"/>
          <w:kern w:val="2"/>
          <w:sz w:val="21"/>
          <w:szCs w:val="24"/>
          <w:lang w:val="en-US" w:eastAsia="zh-CN"/>
        </w:rPr>
        <w:t>2</w:t>
      </w:r>
      <w:r>
        <w:rPr>
          <w:rFonts w:hint="eastAsia" w:ascii="宋体" w:hAnsi="宋体" w:eastAsia="宋体" w:cs="Times New Roman"/>
          <w:kern w:val="2"/>
          <w:sz w:val="21"/>
          <w:szCs w:val="24"/>
          <w:lang w:val="en-US" w:eastAsia="zh-CN"/>
        </w:rPr>
        <w:t xml:space="preserve">  采光系数分析彩图</w:t>
      </w:r>
    </w:p>
    <w:p w14:paraId="067212C3">
      <w:pPr>
        <w:widowControl w:val="0"/>
        <w:tabs>
          <w:tab w:val="left" w:pos="3472"/>
          <w:tab w:val="clear" w:pos="377"/>
        </w:tabs>
        <w:spacing w:line="400" w:lineRule="exact"/>
        <w:ind w:firstLine="472" w:firstLineChars="200"/>
        <w:rPr>
          <w:rFonts w:hint="eastAsia" w:ascii="宋体" w:hAnsi="宋体" w:cs="Times New Roman"/>
          <w:spacing w:val="-2"/>
          <w:kern w:val="2"/>
          <w:sz w:val="24"/>
          <w:lang w:val="en-US" w:eastAsia="zh-CN"/>
        </w:rPr>
      </w:pPr>
      <w:r>
        <w:rPr>
          <w:rFonts w:hint="eastAsia" w:ascii="宋体" w:hAnsi="宋体" w:eastAsia="宋体" w:cs="Times New Roman"/>
          <w:spacing w:val="-2"/>
          <w:kern w:val="2"/>
          <w:sz w:val="24"/>
          <w:lang w:val="en-US" w:eastAsia="zh-CN"/>
        </w:rPr>
        <w:t>通过对本建筑的采光模拟和统计分析，根据满足《建筑环境通用规范》GB 55016-2021、《建筑采光设计标准》GB 50033-2013要求的房间/户型情况汇总如下</w:t>
      </w:r>
      <w:r>
        <w:rPr>
          <w:rFonts w:hint="eastAsia" w:ascii="宋体" w:hAnsi="宋体" w:cs="Times New Roman"/>
          <w:spacing w:val="-2"/>
          <w:kern w:val="2"/>
          <w:sz w:val="24"/>
          <w:lang w:val="en-US" w:eastAsia="zh-CN"/>
        </w:rPr>
        <w:t>：</w:t>
      </w:r>
    </w:p>
    <w:p w14:paraId="42D00AB1">
      <w:pPr>
        <w:widowControl/>
        <w:adjustRightInd w:val="0"/>
        <w:snapToGrid w:val="0"/>
        <w:spacing w:line="420" w:lineRule="atLeast"/>
        <w:jc w:val="center"/>
        <w:rPr>
          <w:rFonts w:hint="eastAsia" w:ascii="宋体" w:hAnsi="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表3-3  </w:t>
      </w:r>
      <w:r>
        <w:rPr>
          <w:rFonts w:hint="eastAsia" w:ascii="楷体_GB2312" w:hAnsi="宋体" w:eastAsia="楷体_GB2312"/>
          <w:b/>
          <w:bCs/>
          <w:color w:val="000000"/>
          <w:lang w:val="en-US" w:eastAsia="zh-CN"/>
        </w:rPr>
        <w:t>采光分析总表</w:t>
      </w:r>
    </w:p>
    <w:tbl>
      <w:tblPr>
        <w:tblStyle w:val="22"/>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66"/>
        <w:gridCol w:w="1056"/>
        <w:gridCol w:w="1098"/>
        <w:gridCol w:w="1227"/>
        <w:gridCol w:w="1756"/>
        <w:gridCol w:w="2197"/>
      </w:tblGrid>
      <w:tr w14:paraId="3DC95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tcW w:w="925" w:type="pct"/>
            <w:tcBorders>
              <w:top w:val="single" w:color="000000" w:sz="4" w:space="0"/>
              <w:left w:val="nil"/>
              <w:bottom w:val="single" w:color="000000" w:sz="4" w:space="0"/>
              <w:right w:val="single" w:color="000000" w:sz="4" w:space="0"/>
              <w:tl2br w:val="nil"/>
            </w:tcBorders>
            <w:shd w:val="clear" w:color="auto" w:fill="FFFFFF"/>
            <w:vAlign w:val="center"/>
          </w:tcPr>
          <w:p w14:paraId="31CB0D2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房间/面积</w:t>
            </w:r>
          </w:p>
        </w:tc>
        <w:tc>
          <w:tcPr>
            <w:tcW w:w="5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3C52E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总数</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AA576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满足要求数量</w:t>
            </w:r>
          </w:p>
        </w:tc>
        <w:tc>
          <w:tcPr>
            <w:tcW w:w="6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1AD0E0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满足要求比例(%)</w:t>
            </w:r>
          </w:p>
        </w:tc>
        <w:tc>
          <w:tcPr>
            <w:tcW w:w="9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2F5CBB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不满足非强条的房间</w:t>
            </w:r>
          </w:p>
        </w:tc>
        <w:tc>
          <w:tcPr>
            <w:tcW w:w="1220" w:type="pct"/>
            <w:tcBorders>
              <w:top w:val="single" w:color="000000" w:sz="4" w:space="0"/>
              <w:left w:val="single" w:color="000000" w:sz="4" w:space="0"/>
              <w:bottom w:val="single" w:color="000000" w:sz="4" w:space="0"/>
              <w:right w:val="nil"/>
            </w:tcBorders>
            <w:shd w:val="clear" w:color="auto" w:fill="FFFFFF"/>
            <w:vAlign w:val="center"/>
          </w:tcPr>
          <w:p w14:paraId="4BC67A1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不满足强条的房间</w:t>
            </w:r>
          </w:p>
        </w:tc>
      </w:tr>
      <w:tr w14:paraId="12BAE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925" w:type="pct"/>
            <w:tcBorders>
              <w:top w:val="single" w:color="000000" w:sz="4" w:space="0"/>
              <w:left w:val="nil"/>
              <w:bottom w:val="single" w:color="000000" w:sz="4" w:space="0"/>
              <w:right w:val="single" w:color="000000" w:sz="4" w:space="0"/>
            </w:tcBorders>
            <w:shd w:val="clear" w:color="auto" w:fill="FFFFFF"/>
            <w:vAlign w:val="center"/>
          </w:tcPr>
          <w:p w14:paraId="50A3D89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房间(个)</w:t>
            </w:r>
          </w:p>
        </w:tc>
        <w:tc>
          <w:tcPr>
            <w:tcW w:w="5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087CE0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EB71EA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42</w:t>
            </w:r>
          </w:p>
        </w:tc>
        <w:tc>
          <w:tcPr>
            <w:tcW w:w="6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C822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100.00</w:t>
            </w:r>
          </w:p>
        </w:tc>
        <w:tc>
          <w:tcPr>
            <w:tcW w:w="9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040F1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220" w:type="pct"/>
            <w:tcBorders>
              <w:top w:val="single" w:color="000000" w:sz="4" w:space="0"/>
              <w:left w:val="single" w:color="000000" w:sz="4" w:space="0"/>
              <w:bottom w:val="single" w:color="000000" w:sz="4" w:space="0"/>
              <w:right w:val="nil"/>
            </w:tcBorders>
            <w:shd w:val="clear" w:color="auto" w:fill="FFFFFF"/>
            <w:vAlign w:val="center"/>
          </w:tcPr>
          <w:p w14:paraId="17F6F08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r>
      <w:tr w14:paraId="4FA813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925" w:type="pct"/>
            <w:tcBorders>
              <w:top w:val="single" w:color="000000" w:sz="4" w:space="0"/>
              <w:left w:val="nil"/>
              <w:bottom w:val="single" w:color="000000" w:sz="4" w:space="0"/>
              <w:right w:val="single" w:color="000000" w:sz="4" w:space="0"/>
            </w:tcBorders>
            <w:shd w:val="clear" w:color="auto" w:fill="FFFFFF"/>
            <w:vAlign w:val="center"/>
          </w:tcPr>
          <w:p w14:paraId="607CDA2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采光面积(㎡)</w:t>
            </w:r>
          </w:p>
        </w:tc>
        <w:tc>
          <w:tcPr>
            <w:tcW w:w="5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F90E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2696.98</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6F4E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2696.98</w:t>
            </w:r>
          </w:p>
        </w:tc>
        <w:tc>
          <w:tcPr>
            <w:tcW w:w="6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A7B2BA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100.00</w:t>
            </w:r>
          </w:p>
        </w:tc>
        <w:tc>
          <w:tcPr>
            <w:tcW w:w="97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EAAA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p>
        </w:tc>
        <w:tc>
          <w:tcPr>
            <w:tcW w:w="1220" w:type="pct"/>
            <w:tcBorders>
              <w:top w:val="single" w:color="000000" w:sz="4" w:space="0"/>
              <w:left w:val="single" w:color="000000" w:sz="4" w:space="0"/>
              <w:bottom w:val="single" w:color="000000" w:sz="4" w:space="0"/>
              <w:right w:val="nil"/>
            </w:tcBorders>
            <w:shd w:val="clear" w:color="auto" w:fill="FFFFFF"/>
            <w:vAlign w:val="center"/>
          </w:tcPr>
          <w:p w14:paraId="7D1AF29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p>
        </w:tc>
      </w:tr>
    </w:tbl>
    <w:p w14:paraId="7741AAB2">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86" w:name="_Toc15386"/>
      <w:r>
        <w:rPr>
          <w:rFonts w:hint="eastAsia" w:ascii="宋体" w:hAnsi="宋体" w:cs="Arial"/>
          <w:b/>
          <w:bCs/>
          <w:kern w:val="2"/>
          <w:sz w:val="24"/>
          <w:szCs w:val="21"/>
          <w:lang w:val="en-US" w:eastAsia="zh-CN" w:bidi="ar-SA"/>
        </w:rPr>
        <w:t>热舒适度分析</w:t>
      </w:r>
      <w:bookmarkEnd w:id="86"/>
    </w:p>
    <w:p w14:paraId="432CEFB8">
      <w:pPr>
        <w:widowControl w:val="0"/>
        <w:tabs>
          <w:tab w:val="left" w:pos="3472"/>
          <w:tab w:val="clear" w:pos="377"/>
        </w:tabs>
        <w:spacing w:line="400" w:lineRule="exact"/>
        <w:ind w:firstLine="472" w:firstLineChars="200"/>
        <w:rPr>
          <w:rFonts w:hint="eastAsia" w:ascii="Times New Roman" w:hAnsi="Times New Roman" w:cs="Times New Roman"/>
          <w:lang w:val="en-US" w:eastAsia="zh-CN"/>
        </w:rPr>
      </w:pPr>
      <w:r>
        <w:rPr>
          <w:rFonts w:hint="eastAsia" w:ascii="宋体" w:hAnsi="宋体" w:cs="Times New Roman"/>
          <w:spacing w:val="-2"/>
          <w:kern w:val="2"/>
          <w:sz w:val="24"/>
          <w:lang w:val="en-US" w:eastAsia="zh-CN"/>
        </w:rPr>
        <w:t>经软件计算，房间满足</w:t>
      </w:r>
      <w:r>
        <w:rPr>
          <w:rFonts w:hint="default" w:ascii="Times New Roman" w:hAnsi="Times New Roman" w:cs="Times New Roman"/>
          <w:lang w:val="en-US" w:eastAsia="zh-CN"/>
        </w:rPr>
        <w:t>热舒适区间的时间比例</w:t>
      </w:r>
      <w:r>
        <w:rPr>
          <w:rFonts w:hint="eastAsia" w:ascii="Times New Roman" w:hAnsi="Times New Roman" w:cs="Times New Roman"/>
          <w:lang w:val="en-US" w:eastAsia="zh-CN"/>
        </w:rPr>
        <w:t>如表所示。</w:t>
      </w:r>
    </w:p>
    <w:p w14:paraId="7C8D4DD9">
      <w:pPr>
        <w:widowControl/>
        <w:adjustRightInd w:val="0"/>
        <w:snapToGrid w:val="0"/>
        <w:spacing w:line="420" w:lineRule="atLeast"/>
        <w:jc w:val="center"/>
        <w:rPr>
          <w:rFonts w:hint="eastAsia" w:ascii="Times New Roman" w:hAnsi="Times New Roman" w:cs="Times New Roman"/>
          <w:lang w:val="en-US" w:eastAsia="zh-CN"/>
        </w:rPr>
      </w:pPr>
      <w:r>
        <w:rPr>
          <w:rFonts w:hint="eastAsia" w:ascii="楷体_GB2312" w:hAnsi="宋体" w:eastAsia="楷体_GB2312" w:cs="Courier New"/>
          <w:b/>
          <w:bCs/>
          <w:color w:val="000000"/>
          <w:kern w:val="0"/>
          <w:sz w:val="24"/>
          <w:szCs w:val="24"/>
          <w:lang w:val="en-US" w:eastAsia="zh-CN" w:bidi="ar-SA"/>
        </w:rPr>
        <w:t>表1-12  室内适应性热舒适温度达标比例统计</w:t>
      </w:r>
    </w:p>
    <w:tbl>
      <w:tblPr>
        <w:tblStyle w:val="22"/>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02"/>
        <w:gridCol w:w="1615"/>
        <w:gridCol w:w="1730"/>
        <w:gridCol w:w="1284"/>
        <w:gridCol w:w="3169"/>
      </w:tblGrid>
      <w:tr w14:paraId="202B9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tcBorders>
              <w:top w:val="single" w:color="000000" w:sz="4" w:space="0"/>
              <w:left w:val="nil"/>
              <w:bottom w:val="single" w:color="000000" w:sz="4" w:space="0"/>
              <w:right w:val="single" w:color="000000" w:sz="4" w:space="0"/>
              <w:tl2br w:val="nil"/>
            </w:tcBorders>
            <w:shd w:val="clear" w:color="auto" w:fill="FFFFFF"/>
            <w:vAlign w:val="center"/>
          </w:tcPr>
          <w:p w14:paraId="4D3BC91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层号</w:t>
            </w: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3D86246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房间编号</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273C7D9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房间名称</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8A042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面积(㎡)</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3F487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满足热舒适区间的时间比例(%)</w:t>
            </w:r>
          </w:p>
        </w:tc>
      </w:tr>
      <w:tr w14:paraId="6EF07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restart"/>
            <w:tcBorders>
              <w:top w:val="single" w:color="000000" w:sz="4" w:space="0"/>
              <w:left w:val="nil"/>
              <w:bottom w:val="single" w:color="000000" w:sz="4" w:space="0"/>
              <w:right w:val="single" w:color="000000" w:sz="4" w:space="0"/>
            </w:tcBorders>
            <w:shd w:val="clear" w:color="auto" w:fill="FFFFFF"/>
            <w:vAlign w:val="center"/>
          </w:tcPr>
          <w:p w14:paraId="785E180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1层</w:t>
            </w: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419CCDB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1001@1</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5266808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EEE57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137.8</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80C00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90.91</w:t>
            </w:r>
          </w:p>
        </w:tc>
      </w:tr>
      <w:tr w14:paraId="43635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673891A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059DE1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1002@1</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3DA6E37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FE1E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A803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91.40</w:t>
            </w:r>
          </w:p>
        </w:tc>
      </w:tr>
      <w:tr w14:paraId="7CD09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551DA2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4BF7AD0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1003@1</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32A48D4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341B5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B6EB3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91.40</w:t>
            </w:r>
          </w:p>
        </w:tc>
      </w:tr>
      <w:tr w14:paraId="6EDAE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22971B7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0DC3BE0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1004@1</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6D89F2B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C626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8032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91.10</w:t>
            </w:r>
          </w:p>
        </w:tc>
      </w:tr>
      <w:tr w14:paraId="407F3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4DB0DB1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048CC55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1005@1</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7211BFE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657B1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70.0</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1D7F2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91.08</w:t>
            </w:r>
          </w:p>
        </w:tc>
      </w:tr>
      <w:tr w14:paraId="6EF56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33A8530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2FA38C7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1006@1</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3F238D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1471C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BE75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91.28</w:t>
            </w:r>
          </w:p>
        </w:tc>
      </w:tr>
      <w:tr w14:paraId="60E55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361FBA7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3D20E58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1007@1</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33F83DB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ABD7B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045F4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90.88</w:t>
            </w:r>
          </w:p>
        </w:tc>
      </w:tr>
      <w:tr w14:paraId="713E3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4473F43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5D9C02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1008@1</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5B619D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88A7B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5657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90.86</w:t>
            </w:r>
          </w:p>
        </w:tc>
      </w:tr>
      <w:tr w14:paraId="10FBD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36C5099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2122A35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1009@1</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483B950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AF521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4BA52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90.97</w:t>
            </w:r>
          </w:p>
        </w:tc>
      </w:tr>
      <w:tr w14:paraId="280E8C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1DF9955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132364E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1013@1</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0946082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管理用房</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E0317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21.6</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DF32C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73.21</w:t>
            </w:r>
          </w:p>
        </w:tc>
      </w:tr>
      <w:tr w14:paraId="106344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04CE93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01A412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1016@1</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03176F9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63D8B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4F329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85.41</w:t>
            </w:r>
          </w:p>
        </w:tc>
      </w:tr>
      <w:tr w14:paraId="4A829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3EABC9F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2D43300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1017@1</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22C313F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6D4F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3D17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86.76</w:t>
            </w:r>
          </w:p>
        </w:tc>
      </w:tr>
      <w:tr w14:paraId="17518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restart"/>
            <w:tcBorders>
              <w:top w:val="single" w:color="000000" w:sz="4" w:space="0"/>
              <w:left w:val="nil"/>
              <w:bottom w:val="single" w:color="000000" w:sz="4" w:space="0"/>
              <w:right w:val="single" w:color="000000" w:sz="4" w:space="0"/>
            </w:tcBorders>
            <w:shd w:val="clear" w:color="auto" w:fill="FFFFFF"/>
            <w:vAlign w:val="center"/>
          </w:tcPr>
          <w:p w14:paraId="6ED74F7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2层</w:t>
            </w: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1C2657D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2001@2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7BA401F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0DDC3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70.5</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E0208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89.94</w:t>
            </w:r>
          </w:p>
        </w:tc>
      </w:tr>
      <w:tr w14:paraId="532E9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35F922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5F4C15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2002@2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4A3F6A0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6B485B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75C9B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89.97</w:t>
            </w:r>
          </w:p>
        </w:tc>
      </w:tr>
      <w:tr w14:paraId="6C5E5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555BBFB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40BCCA4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2003@2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313707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A0F032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3FE8CD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90.17</w:t>
            </w:r>
          </w:p>
        </w:tc>
      </w:tr>
      <w:tr w14:paraId="6709A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03FB999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6F66ECB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2004@2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2FECB68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D917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5EBF7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90.17</w:t>
            </w:r>
          </w:p>
        </w:tc>
      </w:tr>
      <w:tr w14:paraId="74CC4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1AF32A9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37E8A9C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2005@2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4629B6B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A88564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B326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89.89</w:t>
            </w:r>
          </w:p>
        </w:tc>
      </w:tr>
      <w:tr w14:paraId="6101E1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5169130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518D916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2006@2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2040BCD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2367C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7FBA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89.79</w:t>
            </w:r>
          </w:p>
        </w:tc>
      </w:tr>
      <w:tr w14:paraId="06D36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5C0BC4F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72701DD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2007@2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1494F98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C441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16140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89.79</w:t>
            </w:r>
          </w:p>
        </w:tc>
      </w:tr>
      <w:tr w14:paraId="361F3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39DF1E8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50FB385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2008@2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73BB6CB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7438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6555ED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90.08</w:t>
            </w:r>
          </w:p>
        </w:tc>
      </w:tr>
      <w:tr w14:paraId="3213F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6FD1CCA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5AE7A33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2009@2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5083C8E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A3DE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B36F4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89.98</w:t>
            </w:r>
          </w:p>
        </w:tc>
      </w:tr>
      <w:tr w14:paraId="57BCC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0502CC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36F4F3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2010@2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7C2B0A2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03514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0C25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89.85</w:t>
            </w:r>
          </w:p>
        </w:tc>
      </w:tr>
      <w:tr w14:paraId="4F1B4A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5738F56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361199C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2014@2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5B14BDF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管理用房</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4DC2F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21.6</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5918D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71.00</w:t>
            </w:r>
          </w:p>
        </w:tc>
      </w:tr>
      <w:tr w14:paraId="0B82A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6FAA89F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13FA25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2017@2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7D5434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66DB1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B8DD2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85.33</w:t>
            </w:r>
          </w:p>
        </w:tc>
      </w:tr>
      <w:tr w14:paraId="70F25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7896222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62E3623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2018@2</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1DDA8CF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00BA4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F4EC9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83.58</w:t>
            </w:r>
          </w:p>
        </w:tc>
      </w:tr>
      <w:tr w14:paraId="22AC00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restart"/>
            <w:tcBorders>
              <w:top w:val="single" w:color="000000" w:sz="4" w:space="0"/>
              <w:left w:val="nil"/>
              <w:bottom w:val="single" w:color="000000" w:sz="4" w:space="0"/>
              <w:right w:val="single" w:color="000000" w:sz="4" w:space="0"/>
            </w:tcBorders>
            <w:shd w:val="clear" w:color="auto" w:fill="FFFFFF"/>
            <w:vAlign w:val="center"/>
          </w:tcPr>
          <w:p w14:paraId="2F5A08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3层</w:t>
            </w: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5A1A0D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3001@3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4880799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29FD8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70.5</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FCF4E7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89.71</w:t>
            </w:r>
          </w:p>
        </w:tc>
      </w:tr>
      <w:tr w14:paraId="15ED4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2056F6C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508993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3002@3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4E57CB6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854FB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EFBE7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90.06</w:t>
            </w:r>
          </w:p>
        </w:tc>
      </w:tr>
      <w:tr w14:paraId="316901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2821FDE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73ADEEB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3003@3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541C2D6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4F936F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503E1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90.05</w:t>
            </w:r>
          </w:p>
        </w:tc>
      </w:tr>
      <w:tr w14:paraId="79368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3D4948B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46205A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3004@3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113945E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FEA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C948A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89.75</w:t>
            </w:r>
          </w:p>
        </w:tc>
      </w:tr>
      <w:tr w14:paraId="2F5A2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3B255B7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01F7698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3005@3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0D09DB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7F79C2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69.1</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18C2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89.58</w:t>
            </w:r>
          </w:p>
        </w:tc>
      </w:tr>
      <w:tr w14:paraId="35FE4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50F299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26C34AC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3006@3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117B227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708BC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DBB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89.66</w:t>
            </w:r>
          </w:p>
        </w:tc>
      </w:tr>
      <w:tr w14:paraId="645E9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763219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730834B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3007@3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7BAF6CC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8A0D8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4105F3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89.63</w:t>
            </w:r>
          </w:p>
        </w:tc>
      </w:tr>
      <w:tr w14:paraId="4F8E1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2A93232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636A92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3008@3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471AAFC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B50BB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E486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89.55</w:t>
            </w:r>
          </w:p>
        </w:tc>
      </w:tr>
      <w:tr w14:paraId="62920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64FDD06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4347743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3009@3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14EE22D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B163A6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6B8BE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89.91</w:t>
            </w:r>
          </w:p>
        </w:tc>
      </w:tr>
      <w:tr w14:paraId="25793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4117C3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730FCAE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3010@3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30EB327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F74CC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897E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89.89</w:t>
            </w:r>
          </w:p>
        </w:tc>
      </w:tr>
      <w:tr w14:paraId="6AE5C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7782E8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31FA44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3014@3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0A60AE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管理用房</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76527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21.6</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D6FE8F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70.71</w:t>
            </w:r>
          </w:p>
        </w:tc>
      </w:tr>
      <w:tr w14:paraId="10C78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5F8E108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7117D17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3017@3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6A4A3D7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13410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48EB9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82.87</w:t>
            </w:r>
          </w:p>
        </w:tc>
      </w:tr>
      <w:tr w14:paraId="26DB2C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49B224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2ACE5E6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3018@3</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48235D8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61DC4C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1E67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84.67</w:t>
            </w:r>
          </w:p>
        </w:tc>
      </w:tr>
      <w:tr w14:paraId="0B88A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restart"/>
            <w:tcBorders>
              <w:top w:val="single" w:color="000000" w:sz="4" w:space="0"/>
              <w:left w:val="nil"/>
              <w:bottom w:val="single" w:color="000000" w:sz="4" w:space="0"/>
              <w:right w:val="single" w:color="000000" w:sz="4" w:space="0"/>
            </w:tcBorders>
            <w:shd w:val="clear" w:color="auto" w:fill="FFFFFF"/>
            <w:vAlign w:val="center"/>
          </w:tcPr>
          <w:p w14:paraId="2419C6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4层</w:t>
            </w: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63F4A98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4001@4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105D797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BDC6B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70.5</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1CD10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89.00</w:t>
            </w:r>
          </w:p>
        </w:tc>
      </w:tr>
      <w:tr w14:paraId="3F96C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49FBC13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3997940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4002@4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1E58F54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FDBC2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ACAF0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89.30</w:t>
            </w:r>
          </w:p>
        </w:tc>
      </w:tr>
      <w:tr w14:paraId="5DF25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5619DD0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4205643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4003@4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08AF464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378A8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E44C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89.49</w:t>
            </w:r>
          </w:p>
        </w:tc>
      </w:tr>
      <w:tr w14:paraId="410F8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0FA7984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4341874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4004@4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5DFED7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D1C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70.3</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E6B1B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89.47</w:t>
            </w:r>
          </w:p>
        </w:tc>
      </w:tr>
      <w:tr w14:paraId="0EF50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001059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07F0ECE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4005@4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6E64EBC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9246BB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84922C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88.76</w:t>
            </w:r>
          </w:p>
        </w:tc>
      </w:tr>
      <w:tr w14:paraId="7AF5E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24AF712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7958C69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4006@4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55D1E1C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1E765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0AFA2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88.93</w:t>
            </w:r>
          </w:p>
        </w:tc>
      </w:tr>
      <w:tr w14:paraId="2F6C7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4FB1275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71B9CF9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4007@4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677847C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F4C3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887D7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88.78</w:t>
            </w:r>
          </w:p>
        </w:tc>
      </w:tr>
      <w:tr w14:paraId="6910A7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46B70B5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59F8855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4008@4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306FF56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F0C03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572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89.39</w:t>
            </w:r>
          </w:p>
        </w:tc>
      </w:tr>
      <w:tr w14:paraId="0DB55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1053AC8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031EB0F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4009@4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4751E63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FB7DF5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B64CE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88.76</w:t>
            </w:r>
          </w:p>
        </w:tc>
      </w:tr>
      <w:tr w14:paraId="5DBD7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631006D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4177FA9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4010@4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72B4B0F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普通教室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2DC6C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68.9</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3B232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89.39</w:t>
            </w:r>
          </w:p>
        </w:tc>
      </w:tr>
      <w:tr w14:paraId="669B2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3FB07F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5587A95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4014@4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244482C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管理用房</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BFA18C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21.6</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88956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69.95</w:t>
            </w:r>
          </w:p>
        </w:tc>
      </w:tr>
      <w:tr w14:paraId="500C3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5ADBF3F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0F9F259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4017@4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137C408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EBCA3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40336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80.79</w:t>
            </w:r>
          </w:p>
        </w:tc>
      </w:tr>
      <w:tr w14:paraId="63844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68" w:type="pct"/>
            <w:vMerge w:val="continue"/>
            <w:tcBorders>
              <w:top w:val="single" w:color="000000" w:sz="4" w:space="0"/>
              <w:left w:val="nil"/>
              <w:bottom w:val="single" w:color="000000" w:sz="4" w:space="0"/>
              <w:right w:val="single" w:color="000000" w:sz="4" w:space="0"/>
            </w:tcBorders>
            <w:shd w:val="clear" w:color="auto" w:fill="FFFFFF"/>
            <w:vAlign w:val="center"/>
          </w:tcPr>
          <w:p w14:paraId="3102C40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897" w:type="pct"/>
            <w:tcBorders>
              <w:top w:val="single" w:color="000000" w:sz="4" w:space="0"/>
              <w:left w:val="single" w:color="000000" w:sz="4" w:space="0"/>
              <w:bottom w:val="single" w:color="000000" w:sz="4" w:space="0"/>
              <w:right w:val="nil"/>
            </w:tcBorders>
            <w:shd w:val="clear" w:color="auto" w:fill="FFFFFF"/>
            <w:vAlign w:val="center"/>
          </w:tcPr>
          <w:p w14:paraId="42398E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4018@4</w:t>
            </w:r>
          </w:p>
        </w:tc>
        <w:tc>
          <w:tcPr>
            <w:tcW w:w="961" w:type="pct"/>
            <w:tcBorders>
              <w:top w:val="single" w:color="000000" w:sz="4" w:space="0"/>
              <w:left w:val="nil"/>
              <w:bottom w:val="single" w:color="000000" w:sz="4" w:space="0"/>
              <w:right w:val="single" w:color="000000" w:sz="4" w:space="0"/>
            </w:tcBorders>
            <w:shd w:val="clear" w:color="auto" w:fill="FFFFFF"/>
            <w:vAlign w:val="center"/>
          </w:tcPr>
          <w:p w14:paraId="315E093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教室休息室</w:t>
            </w:r>
          </w:p>
        </w:tc>
        <w:tc>
          <w:tcPr>
            <w:tcW w:w="71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6682C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18.5</w:t>
            </w:r>
          </w:p>
        </w:tc>
        <w:tc>
          <w:tcPr>
            <w:tcW w:w="176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B10E1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82.57</w:t>
            </w:r>
          </w:p>
        </w:tc>
      </w:tr>
      <w:tr w14:paraId="560983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3239" w:type="pct"/>
            <w:gridSpan w:val="4"/>
            <w:tcBorders>
              <w:top w:val="single" w:color="000000" w:sz="4" w:space="0"/>
              <w:left w:val="nil"/>
              <w:bottom w:val="single" w:color="000000" w:sz="4" w:space="0"/>
              <w:right w:val="single" w:color="000000" w:sz="4" w:space="0"/>
            </w:tcBorders>
            <w:shd w:val="clear" w:color="auto" w:fill="FFFFFF"/>
            <w:vAlign w:val="center"/>
          </w:tcPr>
          <w:p w14:paraId="0244CBD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建筑满足热舒适区间的时间达标比例(%)</w:t>
            </w:r>
          </w:p>
        </w:tc>
        <w:tc>
          <w:tcPr>
            <w:tcW w:w="1760" w:type="pct"/>
            <w:tcBorders>
              <w:top w:val="single" w:color="000000" w:sz="4" w:space="0"/>
              <w:left w:val="single" w:color="000000" w:sz="4" w:space="0"/>
              <w:bottom w:val="single" w:color="000000" w:sz="4" w:space="0"/>
              <w:right w:val="nil"/>
            </w:tcBorders>
            <w:shd w:val="clear" w:color="auto" w:fill="FFFFFF"/>
            <w:vAlign w:val="center"/>
          </w:tcPr>
          <w:p w14:paraId="7E7BD8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89.16%</w:t>
            </w:r>
          </w:p>
        </w:tc>
      </w:tr>
    </w:tbl>
    <w:p w14:paraId="56EF3CB1">
      <w:pPr>
        <w:widowControl w:val="0"/>
        <w:tabs>
          <w:tab w:val="left" w:pos="3472"/>
          <w:tab w:val="clear" w:pos="377"/>
        </w:tabs>
        <w:spacing w:line="400" w:lineRule="exact"/>
        <w:ind w:firstLine="480" w:firstLineChars="200"/>
        <w:rPr>
          <w:rFonts w:hint="eastAsia" w:ascii="宋体" w:hAnsi="宋体" w:cs="Times New Roman"/>
          <w:spacing w:val="-2"/>
          <w:kern w:val="2"/>
          <w:sz w:val="24"/>
          <w:lang w:val="en-US" w:eastAsia="zh-CN"/>
        </w:rPr>
      </w:pPr>
      <w:r>
        <w:rPr>
          <w:rFonts w:hint="eastAsia" w:ascii="Times New Roman" w:hAnsi="Times New Roman" w:cs="Times New Roman"/>
          <w:lang w:val="en-US" w:eastAsia="zh-CN"/>
        </w:rPr>
        <w:t>通过对本项目室内适应性热舒适温度达标比例的统计分析可知，建筑各楼层、各类功能房间热舒适表现整体优异、一致性突出。各房间达标比例分布在69.95%～91.40%，核心教室空间均保持在88%以上高水准，全楼无热舒适薄弱区域，充分体现出围护结构热工性能、自然/复合通风系统与室内气流组织设计科学合理、分布均衡。建筑整体热舒适达标比例达89.16%，远高于《绿色建筑评价标准》2024版规定的30%基础得分线，按评分规则可获得7分，完全满足并大幅优于绿色建筑室内热湿环境评分要求，热舒适设计成效出色</w:t>
      </w:r>
    </w:p>
    <w:p w14:paraId="2DD66BC8">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87" w:name="_Toc22807"/>
      <w:r>
        <w:rPr>
          <w:rFonts w:hint="eastAsia" w:ascii="宋体" w:hAnsi="宋体" w:eastAsia="宋体" w:cs="Arial"/>
          <w:b/>
          <w:bCs/>
          <w:iCs/>
          <w:color w:val="000000"/>
          <w:kern w:val="2"/>
          <w:sz w:val="28"/>
          <w:szCs w:val="24"/>
          <w:lang w:val="en-US" w:eastAsia="zh-CN" w:bidi="ar-SA"/>
        </w:rPr>
        <w:t>改造前后对比分析</w:t>
      </w:r>
      <w:bookmarkEnd w:id="87"/>
    </w:p>
    <w:p w14:paraId="0074A985">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88" w:name="_Toc28911"/>
      <w:r>
        <w:rPr>
          <w:rFonts w:hint="eastAsia" w:ascii="宋体" w:hAnsi="宋体" w:cs="Arial"/>
          <w:b/>
          <w:bCs/>
          <w:kern w:val="2"/>
          <w:sz w:val="24"/>
          <w:szCs w:val="21"/>
          <w:lang w:val="en-US" w:eastAsia="zh-CN" w:bidi="ar-SA"/>
        </w:rPr>
        <w:t>能耗指标对比</w:t>
      </w:r>
      <w:bookmarkEnd w:id="88"/>
    </w:p>
    <w:p w14:paraId="460B27C4">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通过对改造前后建筑能耗的模拟计算与数据对比，量化评估绿色改造措施的实际节能效果。</w:t>
      </w:r>
    </w:p>
    <w:p w14:paraId="4D08FA27">
      <w:pPr>
        <w:widowControl/>
        <w:adjustRightInd w:val="0"/>
        <w:snapToGrid w:val="0"/>
        <w:spacing w:line="420" w:lineRule="atLeast"/>
        <w:jc w:val="center"/>
        <w:rPr>
          <w:rFonts w:hint="eastAsia"/>
          <w:lang w:eastAsia="zh-CN"/>
        </w:rPr>
      </w:pPr>
      <w:r>
        <w:rPr>
          <w:rFonts w:hint="eastAsia" w:ascii="楷体_GB2312" w:hAnsi="宋体" w:eastAsia="楷体_GB2312" w:cs="Courier New"/>
          <w:b/>
          <w:bCs/>
          <w:color w:val="000000"/>
          <w:kern w:val="0"/>
          <w:sz w:val="24"/>
          <w:szCs w:val="24"/>
          <w:lang w:val="en-US" w:eastAsia="zh-CN" w:bidi="ar-SA"/>
        </w:rPr>
        <w:t xml:space="preserve">表3-5  </w:t>
      </w:r>
      <w:r>
        <w:rPr>
          <w:rFonts w:hint="eastAsia" w:ascii="楷体_GB2312" w:hAnsi="宋体" w:eastAsia="楷体_GB2312"/>
          <w:b/>
          <w:bCs/>
          <w:color w:val="000000"/>
          <w:lang w:val="en-US" w:eastAsia="zh-CN"/>
        </w:rPr>
        <w:t>分项能耗对比表</w:t>
      </w:r>
    </w:p>
    <w:tbl>
      <w:tblPr>
        <w:tblStyle w:val="22"/>
        <w:tblW w:w="4997"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1804"/>
        <w:gridCol w:w="1805"/>
        <w:gridCol w:w="1805"/>
        <w:gridCol w:w="1805"/>
        <w:gridCol w:w="1805"/>
      </w:tblGrid>
      <w:tr w14:paraId="3261186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00" w:type="pct"/>
            <w:tcBorders>
              <w:top w:val="single" w:color="000000" w:sz="4" w:space="0"/>
              <w:left w:val="nil"/>
              <w:bottom w:val="single" w:color="000000" w:sz="4" w:space="0"/>
              <w:right w:val="single" w:color="000000" w:sz="4" w:space="0"/>
              <w:tl2br w:val="nil"/>
            </w:tcBorders>
            <w:shd w:val="clear" w:color="auto" w:fill="FFFFFF"/>
            <w:tcMar>
              <w:top w:w="60" w:type="dxa"/>
              <w:left w:w="120" w:type="dxa"/>
              <w:bottom w:w="30" w:type="dxa"/>
              <w:right w:w="120" w:type="dxa"/>
            </w:tcMar>
          </w:tcPr>
          <w:p w14:paraId="5686C60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指标名称</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32BFDD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改造前</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1D4EFA8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改造后</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583107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年变化量</w:t>
            </w:r>
          </w:p>
        </w:tc>
        <w:tc>
          <w:tcPr>
            <w:tcW w:w="100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515B7F3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变化率</w:t>
            </w:r>
          </w:p>
        </w:tc>
      </w:tr>
      <w:tr w14:paraId="1921E74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00"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000AE1E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建筑总能耗</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1A9F40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301347</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AF3AA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141253</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7311FFC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-160094</w:t>
            </w:r>
          </w:p>
        </w:tc>
        <w:tc>
          <w:tcPr>
            <w:tcW w:w="100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0535B83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-53.13%</w:t>
            </w:r>
          </w:p>
        </w:tc>
      </w:tr>
      <w:tr w14:paraId="03A98C0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00"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41041A1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供冷电耗</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7EAE3A4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166636</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2BA7061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51850</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FF6F13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-114786</w:t>
            </w:r>
          </w:p>
        </w:tc>
        <w:tc>
          <w:tcPr>
            <w:tcW w:w="100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442D72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-68.88%</w:t>
            </w:r>
          </w:p>
        </w:tc>
      </w:tr>
      <w:tr w14:paraId="01BB6551">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00"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3DFD6CC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供暖电耗</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5CA0035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20276</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654A3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24647</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3D721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+4371</w:t>
            </w:r>
          </w:p>
        </w:tc>
        <w:tc>
          <w:tcPr>
            <w:tcW w:w="100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5726973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+21.56%</w:t>
            </w:r>
          </w:p>
        </w:tc>
      </w:tr>
      <w:tr w14:paraId="395E28A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00"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08CF78C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照明电耗</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6EA96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61052</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73A94DF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49648</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53A944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-11404</w:t>
            </w:r>
          </w:p>
        </w:tc>
        <w:tc>
          <w:tcPr>
            <w:tcW w:w="100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44154BC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-18.68%</w:t>
            </w:r>
          </w:p>
        </w:tc>
      </w:tr>
      <w:tr w14:paraId="76E1241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00"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5B58B68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插座设备电耗</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8AF4BA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53361</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5406E8A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52233</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CB1244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-1128</w:t>
            </w:r>
          </w:p>
        </w:tc>
        <w:tc>
          <w:tcPr>
            <w:tcW w:w="100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1645CA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-2.11%</w:t>
            </w:r>
          </w:p>
        </w:tc>
      </w:tr>
      <w:tr w14:paraId="4B85F60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000"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1DF552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光伏发电量</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075EF00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0D6890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37131</w:t>
            </w:r>
          </w:p>
        </w:tc>
        <w:tc>
          <w:tcPr>
            <w:tcW w:w="100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76F779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+37131</w:t>
            </w:r>
          </w:p>
        </w:tc>
        <w:tc>
          <w:tcPr>
            <w:tcW w:w="100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3FE1671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p>
        </w:tc>
      </w:tr>
    </w:tbl>
    <w:p w14:paraId="0A1FABA5">
      <w:pPr>
        <w:widowControl w:val="0"/>
        <w:tabs>
          <w:tab w:val="left" w:pos="3472"/>
          <w:tab w:val="clear" w:pos="377"/>
        </w:tabs>
        <w:spacing w:line="400" w:lineRule="exact"/>
        <w:ind w:firstLine="480" w:firstLineChars="200"/>
        <w:rPr>
          <w:rFonts w:hint="eastAsia"/>
          <w:lang w:eastAsia="zh-CN"/>
        </w:rPr>
      </w:pPr>
      <w:r>
        <w:rPr>
          <w:rFonts w:hint="eastAsia"/>
          <w:lang w:eastAsia="zh-CN"/>
        </w:rPr>
        <w:t>本次建筑节能改造成效显著：</w:t>
      </w:r>
      <w:r>
        <w:rPr>
          <w:rFonts w:hint="eastAsia"/>
          <w:lang w:val="en-US" w:eastAsia="zh-CN"/>
        </w:rPr>
        <w:t>改造后建筑总电耗从301347kWh/年降至141253kWh/年，年节电160094kWh，节能率高达53.13%，节能效果显著。供冷电耗下降68.88%，供冷负荷显著降低，设备运行更高效。照明功率密度与运行策略优化，照明电耗下降18.68%，兼顾采光与节能。改造后新增240㎡光伏系统，年发电量37131kWh，直接抵扣建筑用电，是总能耗大幅下降的关键因素。因冬季室内舒适度提升、供暖标准优化，供暖电耗小幅上升，符合公共建筑使用需求。</w:t>
      </w:r>
    </w:p>
    <w:p w14:paraId="5506A81C">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pPr>
    </w:p>
    <w:p w14:paraId="673957D3">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pPr>
      <w:r>
        <w:drawing>
          <wp:inline distT="0" distB="0" distL="114300" distR="114300">
            <wp:extent cx="5574665" cy="3472815"/>
            <wp:effectExtent l="0" t="0" r="6985" b="1333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5"/>
                    <a:stretch>
                      <a:fillRect/>
                    </a:stretch>
                  </pic:blipFill>
                  <pic:spPr>
                    <a:xfrm>
                      <a:off x="0" y="0"/>
                      <a:ext cx="5574665" cy="3472815"/>
                    </a:xfrm>
                    <a:prstGeom prst="rect">
                      <a:avLst/>
                    </a:prstGeom>
                    <a:noFill/>
                    <a:ln>
                      <a:noFill/>
                    </a:ln>
                  </pic:spPr>
                </pic:pic>
              </a:graphicData>
            </a:graphic>
          </wp:inline>
        </w:drawing>
      </w:r>
    </w:p>
    <w:p w14:paraId="51DF59C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lang w:val="en-US" w:eastAsia="zh-CN"/>
        </w:rPr>
      </w:pPr>
      <w:r>
        <w:rPr>
          <w:rFonts w:hint="eastAsia" w:ascii="宋体" w:hAnsi="宋体" w:eastAsia="宋体" w:cs="Times New Roman"/>
          <w:kern w:val="2"/>
          <w:sz w:val="21"/>
          <w:szCs w:val="24"/>
          <w:lang w:val="en-US" w:eastAsia="zh-CN"/>
        </w:rPr>
        <w:t>图</w:t>
      </w:r>
      <w:r>
        <w:rPr>
          <w:rFonts w:hint="eastAsia" w:ascii="宋体" w:hAnsi="宋体" w:cs="Times New Roman"/>
          <w:kern w:val="2"/>
          <w:sz w:val="21"/>
          <w:szCs w:val="24"/>
          <w:lang w:val="en-US" w:eastAsia="zh-CN"/>
        </w:rPr>
        <w:t>3</w:t>
      </w:r>
      <w:r>
        <w:rPr>
          <w:rFonts w:hint="eastAsia" w:ascii="宋体" w:hAnsi="宋体" w:eastAsia="宋体" w:cs="Times New Roman"/>
          <w:kern w:val="2"/>
          <w:sz w:val="21"/>
          <w:szCs w:val="24"/>
          <w:lang w:val="en-US" w:eastAsia="zh-CN"/>
        </w:rPr>
        <w:t>-</w:t>
      </w:r>
      <w:r>
        <w:rPr>
          <w:rFonts w:hint="eastAsia" w:ascii="宋体" w:hAnsi="宋体" w:cs="Times New Roman"/>
          <w:kern w:val="2"/>
          <w:sz w:val="21"/>
          <w:szCs w:val="24"/>
          <w:lang w:val="en-US" w:eastAsia="zh-CN"/>
        </w:rPr>
        <w:t>3</w:t>
      </w:r>
      <w:r>
        <w:rPr>
          <w:rFonts w:hint="eastAsia" w:ascii="宋体" w:hAnsi="宋体" w:eastAsia="宋体" w:cs="Times New Roman"/>
          <w:kern w:val="2"/>
          <w:sz w:val="21"/>
          <w:szCs w:val="24"/>
          <w:lang w:val="en-US" w:eastAsia="zh-CN"/>
        </w:rPr>
        <w:t xml:space="preserve">  分项能耗对比</w:t>
      </w:r>
      <w:r>
        <w:rPr>
          <w:rFonts w:hint="eastAsia" w:ascii="宋体" w:hAnsi="宋体" w:cs="Times New Roman"/>
          <w:kern w:val="2"/>
          <w:sz w:val="21"/>
          <w:szCs w:val="24"/>
          <w:lang w:val="en-US" w:eastAsia="zh-CN"/>
        </w:rPr>
        <w:t>图</w:t>
      </w:r>
    </w:p>
    <w:p w14:paraId="27817A45">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表3-6  </w:t>
      </w:r>
      <w:r>
        <w:rPr>
          <w:rFonts w:hint="eastAsia" w:ascii="楷体_GB2312" w:hAnsi="宋体" w:eastAsia="楷体_GB2312" w:cs="Times New Roman"/>
          <w:b/>
          <w:bCs/>
          <w:color w:val="000000"/>
          <w:lang w:val="en-US" w:eastAsia="zh-CN"/>
        </w:rPr>
        <w:t>年综合能耗对比表</w:t>
      </w:r>
    </w:p>
    <w:p w14:paraId="648295B7">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p>
    <w:tbl>
      <w:tblPr>
        <w:tblStyle w:val="22"/>
        <w:tblW w:w="4998" w:type="pct"/>
        <w:jc w:val="center"/>
        <w:shd w:val="clear" w:color="auto" w:fill="FFFFFF"/>
        <w:tblLayout w:type="autofit"/>
        <w:tblCellMar>
          <w:top w:w="15" w:type="dxa"/>
          <w:left w:w="15" w:type="dxa"/>
          <w:bottom w:w="15" w:type="dxa"/>
          <w:right w:w="15" w:type="dxa"/>
        </w:tblCellMar>
      </w:tblPr>
      <w:tblGrid>
        <w:gridCol w:w="3597"/>
        <w:gridCol w:w="1248"/>
        <w:gridCol w:w="1248"/>
        <w:gridCol w:w="1636"/>
        <w:gridCol w:w="1248"/>
      </w:tblGrid>
      <w:tr w14:paraId="0F594EFA">
        <w:tblPrEx>
          <w:shd w:val="clear" w:color="auto" w:fill="FFFFFF"/>
          <w:tblCellMar>
            <w:top w:w="15" w:type="dxa"/>
            <w:left w:w="15" w:type="dxa"/>
            <w:bottom w:w="15" w:type="dxa"/>
            <w:right w:w="15" w:type="dxa"/>
          </w:tblCellMar>
        </w:tblPrEx>
        <w:trPr>
          <w:tblHeader/>
          <w:jc w:val="center"/>
        </w:trPr>
        <w:tc>
          <w:tcPr>
            <w:tcW w:w="2003" w:type="pct"/>
            <w:tcBorders>
              <w:top w:val="single" w:color="000000" w:sz="4" w:space="0"/>
              <w:left w:val="nil"/>
              <w:bottom w:val="single" w:color="000000" w:sz="4" w:space="0"/>
              <w:right w:val="single" w:color="000000" w:sz="4" w:space="0"/>
              <w:tl2br w:val="nil"/>
            </w:tcBorders>
            <w:shd w:val="clear" w:color="auto" w:fill="FFFFFF"/>
            <w:tcMar>
              <w:top w:w="120" w:type="dxa"/>
              <w:left w:w="0" w:type="dxa"/>
              <w:bottom w:w="120" w:type="dxa"/>
              <w:right w:w="192" w:type="dxa"/>
            </w:tcMar>
            <w:vAlign w:val="center"/>
          </w:tcPr>
          <w:p w14:paraId="6708708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指标</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7D5A02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改造前</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EEA1D2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改造后</w:t>
            </w:r>
          </w:p>
        </w:tc>
        <w:tc>
          <w:tcPr>
            <w:tcW w:w="91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557980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变化量</w:t>
            </w:r>
          </w:p>
        </w:tc>
        <w:tc>
          <w:tcPr>
            <w:tcW w:w="695"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1927EBF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变化率</w:t>
            </w:r>
          </w:p>
        </w:tc>
      </w:tr>
      <w:tr w14:paraId="3D37E46E">
        <w:tblPrEx>
          <w:shd w:val="clear" w:color="auto" w:fill="FFFFFF"/>
          <w:tblCellMar>
            <w:top w:w="15" w:type="dxa"/>
            <w:left w:w="15" w:type="dxa"/>
            <w:bottom w:w="15" w:type="dxa"/>
            <w:right w:w="15" w:type="dxa"/>
          </w:tblCellMar>
        </w:tblPrEx>
        <w:trPr>
          <w:jc w:val="center"/>
        </w:trPr>
        <w:tc>
          <w:tcPr>
            <w:tcW w:w="2003"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54BEC28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年总能耗（kWh/年）</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2DD503E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527538</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2436776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443893</w:t>
            </w:r>
          </w:p>
        </w:tc>
        <w:tc>
          <w:tcPr>
            <w:tcW w:w="91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858C226">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83645</w:t>
            </w:r>
          </w:p>
        </w:tc>
        <w:tc>
          <w:tcPr>
            <w:tcW w:w="695"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B5DBDD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15.87%</w:t>
            </w:r>
          </w:p>
        </w:tc>
      </w:tr>
      <w:tr w14:paraId="76A53B55">
        <w:tblPrEx>
          <w:shd w:val="clear" w:color="auto" w:fill="FFFFFF"/>
          <w:tblCellMar>
            <w:top w:w="15" w:type="dxa"/>
            <w:left w:w="15" w:type="dxa"/>
            <w:bottom w:w="15" w:type="dxa"/>
            <w:right w:w="15" w:type="dxa"/>
          </w:tblCellMar>
        </w:tblPrEx>
        <w:trPr>
          <w:jc w:val="center"/>
        </w:trPr>
        <w:tc>
          <w:tcPr>
            <w:tcW w:w="2003"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77F9F53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单位面积能耗（kWh/m²·年）</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194D652">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88.18</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3277DF0">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74.19</w:t>
            </w:r>
          </w:p>
        </w:tc>
        <w:tc>
          <w:tcPr>
            <w:tcW w:w="91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8934461">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13.99</w:t>
            </w:r>
          </w:p>
        </w:tc>
        <w:tc>
          <w:tcPr>
            <w:tcW w:w="695"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4F0D4A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[Z₁%]</w:t>
            </w:r>
          </w:p>
        </w:tc>
      </w:tr>
      <w:tr w14:paraId="4156CD56">
        <w:tblPrEx>
          <w:shd w:val="clear" w:color="auto" w:fill="FFFFFF"/>
          <w:tblCellMar>
            <w:top w:w="15" w:type="dxa"/>
            <w:left w:w="15" w:type="dxa"/>
            <w:bottom w:w="15" w:type="dxa"/>
            <w:right w:w="15" w:type="dxa"/>
          </w:tblCellMar>
        </w:tblPrEx>
        <w:trPr>
          <w:jc w:val="center"/>
        </w:trPr>
        <w:tc>
          <w:tcPr>
            <w:tcW w:w="2003"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4142CED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综合节能率</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9E51E6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[X2]</w:t>
            </w:r>
          </w:p>
        </w:tc>
        <w:tc>
          <w:tcPr>
            <w:tcW w:w="69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8318B4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[Y2]</w:t>
            </w:r>
          </w:p>
        </w:tc>
        <w:tc>
          <w:tcPr>
            <w:tcW w:w="91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41D1F8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[Y1-X2]</w:t>
            </w:r>
          </w:p>
        </w:tc>
        <w:tc>
          <w:tcPr>
            <w:tcW w:w="695"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62F10E6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[Z3%]</w:t>
            </w:r>
          </w:p>
        </w:tc>
      </w:tr>
    </w:tbl>
    <w:p w14:paraId="04F3FD1E">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文字描述表内值，画柱状图/饼状图，并文字分析图。</w:t>
      </w:r>
    </w:p>
    <w:p w14:paraId="1D55CAFE">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将改造后能耗指标与国家标准进行对比：</w:t>
      </w:r>
    </w:p>
    <w:p w14:paraId="023EF484">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表3-7  </w:t>
      </w:r>
      <w:r>
        <w:rPr>
          <w:rFonts w:hint="eastAsia" w:ascii="楷体_GB2312" w:hAnsi="宋体" w:eastAsia="楷体_GB2312" w:cs="Times New Roman"/>
          <w:b/>
          <w:bCs/>
          <w:color w:val="000000"/>
          <w:lang w:val="en-US" w:eastAsia="zh-CN"/>
        </w:rPr>
        <w:t>能耗达标情况表</w:t>
      </w:r>
    </w:p>
    <w:tbl>
      <w:tblPr>
        <w:tblStyle w:val="22"/>
        <w:tblW w:w="4998" w:type="pct"/>
        <w:jc w:val="center"/>
        <w:shd w:val="clear" w:color="auto" w:fill="FFFFFF"/>
        <w:tblLayout w:type="autofit"/>
        <w:tblCellMar>
          <w:top w:w="15" w:type="dxa"/>
          <w:left w:w="15" w:type="dxa"/>
          <w:bottom w:w="15" w:type="dxa"/>
          <w:right w:w="15" w:type="dxa"/>
        </w:tblCellMar>
      </w:tblPr>
      <w:tblGrid>
        <w:gridCol w:w="2740"/>
        <w:gridCol w:w="2164"/>
        <w:gridCol w:w="2026"/>
        <w:gridCol w:w="2047"/>
      </w:tblGrid>
      <w:tr w14:paraId="4394300C">
        <w:tblPrEx>
          <w:tblCellMar>
            <w:top w:w="15" w:type="dxa"/>
            <w:left w:w="15" w:type="dxa"/>
            <w:bottom w:w="15" w:type="dxa"/>
            <w:right w:w="15" w:type="dxa"/>
          </w:tblCellMar>
        </w:tblPrEx>
        <w:trPr>
          <w:tblHeader/>
          <w:jc w:val="center"/>
        </w:trPr>
        <w:tc>
          <w:tcPr>
            <w:tcW w:w="1526" w:type="pct"/>
            <w:tcBorders>
              <w:top w:val="single" w:color="000000" w:sz="4" w:space="0"/>
              <w:left w:val="nil"/>
              <w:bottom w:val="single" w:color="000000" w:sz="4" w:space="0"/>
              <w:right w:val="single" w:color="000000" w:sz="4" w:space="0"/>
              <w:tl2br w:val="nil"/>
            </w:tcBorders>
            <w:shd w:val="clear" w:color="auto" w:fill="FFFFFF"/>
            <w:tcMar>
              <w:top w:w="120" w:type="dxa"/>
              <w:left w:w="0" w:type="dxa"/>
              <w:bottom w:w="120" w:type="dxa"/>
              <w:right w:w="192" w:type="dxa"/>
            </w:tcMar>
            <w:vAlign w:val="center"/>
          </w:tcPr>
          <w:p w14:paraId="3548D7E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对比项目</w:t>
            </w:r>
          </w:p>
        </w:tc>
        <w:tc>
          <w:tcPr>
            <w:tcW w:w="120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7349B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改造后模拟值</w:t>
            </w:r>
          </w:p>
        </w:tc>
        <w:tc>
          <w:tcPr>
            <w:tcW w:w="1128"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C20ACD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标准约束值</w:t>
            </w:r>
          </w:p>
        </w:tc>
        <w:tc>
          <w:tcPr>
            <w:tcW w:w="1140"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68FCA8D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达标情况</w:t>
            </w:r>
          </w:p>
        </w:tc>
      </w:tr>
      <w:tr w14:paraId="4EF48948">
        <w:tblPrEx>
          <w:shd w:val="clear" w:color="auto" w:fill="FFFFFF"/>
          <w:tblCellMar>
            <w:top w:w="15" w:type="dxa"/>
            <w:left w:w="15" w:type="dxa"/>
            <w:bottom w:w="15" w:type="dxa"/>
            <w:right w:w="15" w:type="dxa"/>
          </w:tblCellMar>
        </w:tblPrEx>
        <w:trPr>
          <w:jc w:val="center"/>
        </w:trPr>
        <w:tc>
          <w:tcPr>
            <w:tcW w:w="1526"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3A24583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供冷能耗（kWh/m²）</w:t>
            </w:r>
          </w:p>
        </w:tc>
        <w:tc>
          <w:tcPr>
            <w:tcW w:w="120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C5F86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[X]</w:t>
            </w:r>
          </w:p>
        </w:tc>
        <w:tc>
          <w:tcPr>
            <w:tcW w:w="1128"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A41532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[Y]</w:t>
            </w:r>
          </w:p>
        </w:tc>
        <w:tc>
          <w:tcPr>
            <w:tcW w:w="1140"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49EF5AC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r>
      <w:tr w14:paraId="6E178154">
        <w:tblPrEx>
          <w:shd w:val="clear" w:color="auto" w:fill="FFFFFF"/>
          <w:tblCellMar>
            <w:top w:w="15" w:type="dxa"/>
            <w:left w:w="15" w:type="dxa"/>
            <w:bottom w:w="15" w:type="dxa"/>
            <w:right w:w="15" w:type="dxa"/>
          </w:tblCellMar>
        </w:tblPrEx>
        <w:trPr>
          <w:jc w:val="center"/>
        </w:trPr>
        <w:tc>
          <w:tcPr>
            <w:tcW w:w="1526"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6FA574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供暖能耗（kWh/m²）</w:t>
            </w:r>
          </w:p>
        </w:tc>
        <w:tc>
          <w:tcPr>
            <w:tcW w:w="120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3224C0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[X]</w:t>
            </w:r>
          </w:p>
        </w:tc>
        <w:tc>
          <w:tcPr>
            <w:tcW w:w="1128"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F457B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[Y]</w:t>
            </w:r>
          </w:p>
        </w:tc>
        <w:tc>
          <w:tcPr>
            <w:tcW w:w="1140"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77805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r>
      <w:tr w14:paraId="3539B390">
        <w:tblPrEx>
          <w:shd w:val="clear" w:color="auto" w:fill="FFFFFF"/>
          <w:tblCellMar>
            <w:top w:w="15" w:type="dxa"/>
            <w:left w:w="15" w:type="dxa"/>
            <w:bottom w:w="15" w:type="dxa"/>
            <w:right w:w="15" w:type="dxa"/>
          </w:tblCellMar>
        </w:tblPrEx>
        <w:trPr>
          <w:jc w:val="center"/>
        </w:trPr>
        <w:tc>
          <w:tcPr>
            <w:tcW w:w="1526"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347980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照明能耗（kWh/m²）</w:t>
            </w:r>
          </w:p>
        </w:tc>
        <w:tc>
          <w:tcPr>
            <w:tcW w:w="120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07F43E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[X]</w:t>
            </w:r>
          </w:p>
        </w:tc>
        <w:tc>
          <w:tcPr>
            <w:tcW w:w="1128"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229ED8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[Y]</w:t>
            </w:r>
          </w:p>
        </w:tc>
        <w:tc>
          <w:tcPr>
            <w:tcW w:w="1140"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5ADAB75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r>
      <w:tr w14:paraId="5C2B1E29">
        <w:tblPrEx>
          <w:shd w:val="clear" w:color="auto" w:fill="FFFFFF"/>
          <w:tblCellMar>
            <w:top w:w="15" w:type="dxa"/>
            <w:left w:w="15" w:type="dxa"/>
            <w:bottom w:w="15" w:type="dxa"/>
            <w:right w:w="15" w:type="dxa"/>
          </w:tblCellMar>
        </w:tblPrEx>
        <w:trPr>
          <w:jc w:val="center"/>
        </w:trPr>
        <w:tc>
          <w:tcPr>
            <w:tcW w:w="1526"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48B4A4E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综合节能率</w:t>
            </w:r>
          </w:p>
        </w:tc>
        <w:tc>
          <w:tcPr>
            <w:tcW w:w="120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F93B64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[X%]</w:t>
            </w:r>
          </w:p>
        </w:tc>
        <w:tc>
          <w:tcPr>
            <w:tcW w:w="1128"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C4C98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c>
          <w:tcPr>
            <w:tcW w:w="1140"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717932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p>
        </w:tc>
      </w:tr>
    </w:tbl>
    <w:p w14:paraId="5E4B0B79">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文字总结改造建筑是否达到标准。</w:t>
      </w:r>
    </w:p>
    <w:p w14:paraId="3B528F1C">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89" w:name="_Toc12720"/>
      <w:r>
        <w:rPr>
          <w:rFonts w:hint="eastAsia" w:ascii="宋体" w:hAnsi="宋体" w:cs="Arial"/>
          <w:b/>
          <w:bCs/>
          <w:kern w:val="2"/>
          <w:sz w:val="24"/>
          <w:szCs w:val="21"/>
          <w:lang w:val="en-US" w:eastAsia="zh-CN" w:bidi="ar-SA"/>
        </w:rPr>
        <w:t>采光达标率对比</w:t>
      </w:r>
      <w:bookmarkEnd w:id="89"/>
    </w:p>
    <w:p w14:paraId="159814AE">
      <w:pPr>
        <w:widowControl/>
        <w:adjustRightInd w:val="0"/>
        <w:snapToGrid w:val="0"/>
        <w:spacing w:line="420" w:lineRule="atLeast"/>
        <w:jc w:val="center"/>
        <w:rPr>
          <w:rFonts w:hint="eastAsia" w:ascii="宋体" w:hAnsi="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表3-8  </w:t>
      </w:r>
      <w:r>
        <w:rPr>
          <w:rFonts w:hint="eastAsia" w:ascii="楷体_GB2312" w:hAnsi="宋体" w:eastAsia="楷体_GB2312"/>
          <w:b/>
          <w:bCs/>
          <w:color w:val="000000"/>
          <w:lang w:val="en-US" w:eastAsia="zh-CN"/>
        </w:rPr>
        <w:t>采光达标率对比表</w:t>
      </w:r>
    </w:p>
    <w:tbl>
      <w:tblPr>
        <w:tblStyle w:val="22"/>
        <w:tblW w:w="4997"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2710"/>
        <w:gridCol w:w="1800"/>
        <w:gridCol w:w="2257"/>
        <w:gridCol w:w="2257"/>
      </w:tblGrid>
      <w:tr w14:paraId="707C3BE7">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501" w:type="pct"/>
            <w:tcBorders>
              <w:top w:val="single" w:color="000000" w:sz="4" w:space="0"/>
              <w:left w:val="nil"/>
              <w:bottom w:val="single" w:color="000000" w:sz="4" w:space="0"/>
              <w:right w:val="single" w:color="000000" w:sz="4" w:space="0"/>
              <w:tl2br w:val="nil"/>
            </w:tcBorders>
            <w:shd w:val="clear" w:color="auto" w:fill="FFFFFF"/>
            <w:tcMar>
              <w:top w:w="60" w:type="dxa"/>
              <w:left w:w="120" w:type="dxa"/>
              <w:bottom w:w="30" w:type="dxa"/>
              <w:right w:w="120" w:type="dxa"/>
            </w:tcMar>
          </w:tcPr>
          <w:p w14:paraId="7F2E4A8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对比维度</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7610DBB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改造前</w:t>
            </w:r>
          </w:p>
        </w:tc>
        <w:tc>
          <w:tcPr>
            <w:tcW w:w="125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D3A6A2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改造后</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53FF50C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变化情况</w:t>
            </w:r>
          </w:p>
        </w:tc>
      </w:tr>
      <w:tr w14:paraId="6ACE445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501"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307439B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房间总数</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01AC65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51个</w:t>
            </w:r>
          </w:p>
        </w:tc>
        <w:tc>
          <w:tcPr>
            <w:tcW w:w="125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1FF101C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42个</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4561A0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减少9个</w:t>
            </w:r>
          </w:p>
        </w:tc>
      </w:tr>
      <w:tr w14:paraId="48B5E3D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501"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4F284AE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房间达标数量</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2CC6D4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0个</w:t>
            </w:r>
          </w:p>
        </w:tc>
        <w:tc>
          <w:tcPr>
            <w:tcW w:w="125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10C87B4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42个</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33F1A03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增加42个</w:t>
            </w:r>
          </w:p>
        </w:tc>
      </w:tr>
      <w:tr w14:paraId="1A96BD6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501"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4AC6EA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房间达标率</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29D8853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0.00%</w:t>
            </w:r>
          </w:p>
        </w:tc>
        <w:tc>
          <w:tcPr>
            <w:tcW w:w="125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FA224B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100.00%</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7A22512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提升100</w:t>
            </w:r>
            <w:r>
              <w:rPr>
                <w:rFonts w:hint="eastAsia" w:ascii="宋体" w:hAnsi="宋体" w:cs="Courier New"/>
                <w:b w:val="0"/>
                <w:color w:val="000000"/>
                <w:kern w:val="0"/>
                <w:sz w:val="21"/>
                <w:szCs w:val="24"/>
                <w:lang w:val="en-US" w:eastAsia="zh-CN" w:bidi="ar-SA"/>
              </w:rPr>
              <w:t>%</w:t>
            </w:r>
          </w:p>
        </w:tc>
      </w:tr>
      <w:tr w14:paraId="0A059A5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501"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2F308F7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达标采光面积</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7006D7A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0.00㎡</w:t>
            </w:r>
          </w:p>
        </w:tc>
        <w:tc>
          <w:tcPr>
            <w:tcW w:w="125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9F1978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2696.98㎡</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4FF6423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增加2696.98㎡</w:t>
            </w:r>
          </w:p>
        </w:tc>
      </w:tr>
      <w:tr w14:paraId="435C5562">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501"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6AB4CD6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采光面积达标率</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1BAB3A4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0.00%</w:t>
            </w:r>
          </w:p>
        </w:tc>
        <w:tc>
          <w:tcPr>
            <w:tcW w:w="125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4520211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100.00%</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1ABC7CD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提升100</w:t>
            </w:r>
            <w:r>
              <w:rPr>
                <w:rFonts w:hint="eastAsia" w:ascii="宋体" w:hAnsi="宋体" w:cs="Courier New"/>
                <w:b w:val="0"/>
                <w:color w:val="000000"/>
                <w:kern w:val="0"/>
                <w:sz w:val="21"/>
                <w:szCs w:val="24"/>
                <w:lang w:val="en-US" w:eastAsia="zh-CN" w:bidi="ar-SA"/>
              </w:rPr>
              <w:t>%</w:t>
            </w:r>
          </w:p>
        </w:tc>
      </w:tr>
      <w:tr w14:paraId="53E062B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501"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5AA81C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采光均匀度不满足房间数</w:t>
            </w:r>
          </w:p>
        </w:tc>
        <w:tc>
          <w:tcPr>
            <w:tcW w:w="997"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2618713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47个</w:t>
            </w:r>
          </w:p>
        </w:tc>
        <w:tc>
          <w:tcPr>
            <w:tcW w:w="1250"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AC0450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39个</w:t>
            </w:r>
          </w:p>
        </w:tc>
        <w:tc>
          <w:tcPr>
            <w:tcW w:w="1250"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6EE82AB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减少8个</w:t>
            </w:r>
          </w:p>
        </w:tc>
      </w:tr>
    </w:tbl>
    <w:p w14:paraId="15E13060">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采光改造效果显著，改造前后采光性能差距</w:t>
      </w:r>
      <w:r>
        <w:rPr>
          <w:rFonts w:hint="eastAsia" w:ascii="宋体" w:hAnsi="宋体" w:cs="Times New Roman"/>
          <w:spacing w:val="-2"/>
          <w:kern w:val="2"/>
          <w:sz w:val="24"/>
          <w:lang w:val="en-US" w:eastAsia="zh-CN"/>
        </w:rPr>
        <w:t>较</w:t>
      </w:r>
      <w:r>
        <w:rPr>
          <w:rFonts w:hint="eastAsia" w:ascii="宋体" w:hAnsi="宋体" w:eastAsia="宋体" w:cs="Times New Roman"/>
          <w:spacing w:val="-2"/>
          <w:kern w:val="2"/>
          <w:sz w:val="24"/>
          <w:lang w:val="en-US" w:eastAsia="zh-CN"/>
        </w:rPr>
        <w:t>大。改造前，项目51个房间全部不满足采光系数要求，房间达标率与采光面积达标率均为0.00%，不符合《建筑采光设计标准》GB50033-2013与《建筑环境通用规范》GB55016-2021对教育建筑教室的采光要求，同时有47个教室不满足采光均匀度标准。</w:t>
      </w:r>
    </w:p>
    <w:p w14:paraId="349D9127">
      <w:pPr>
        <w:widowControl w:val="0"/>
        <w:tabs>
          <w:tab w:val="left" w:pos="3472"/>
          <w:tab w:val="clear" w:pos="377"/>
        </w:tabs>
        <w:spacing w:line="400" w:lineRule="exact"/>
        <w:ind w:firstLine="472" w:firstLineChars="200"/>
        <w:rPr>
          <w:rFonts w:hint="eastAsia" w:ascii="宋体" w:hAnsi="宋体" w:cs="Arial"/>
          <w:b/>
          <w:bCs/>
          <w:kern w:val="2"/>
          <w:sz w:val="24"/>
          <w:szCs w:val="21"/>
          <w:lang w:val="en-US" w:eastAsia="zh-CN" w:bidi="ar-SA"/>
        </w:rPr>
      </w:pPr>
      <w:r>
        <w:rPr>
          <w:rFonts w:hint="eastAsia" w:ascii="宋体" w:hAnsi="宋体" w:eastAsia="宋体" w:cs="Times New Roman"/>
          <w:spacing w:val="-2"/>
          <w:kern w:val="2"/>
          <w:sz w:val="24"/>
          <w:lang w:val="en-US" w:eastAsia="zh-CN"/>
        </w:rPr>
        <w:t>经采光优化改造后，项目42个主要功能房间全部达标，房间达标率与采光面积达标率均提升至100.00%，满足教育建筑采光系数强制要求；采光均匀度不满足房间数量由47个减少至39个，整体采光性能得到根本性改善，符合国家现行规范标准。</w:t>
      </w:r>
    </w:p>
    <w:p w14:paraId="7CA5E330">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90" w:name="_Toc25321"/>
      <w:r>
        <w:rPr>
          <w:rFonts w:hint="eastAsia" w:ascii="宋体" w:hAnsi="宋体" w:cs="Arial"/>
          <w:b/>
          <w:bCs/>
          <w:kern w:val="2"/>
          <w:sz w:val="24"/>
          <w:szCs w:val="21"/>
          <w:lang w:val="en-US" w:eastAsia="zh-CN" w:bidi="ar-SA"/>
        </w:rPr>
        <w:t>热舒适度对比</w:t>
      </w:r>
      <w:bookmarkEnd w:id="90"/>
    </w:p>
    <w:p w14:paraId="17C5999B">
      <w:pPr>
        <w:widowControl/>
        <w:adjustRightInd w:val="0"/>
        <w:snapToGrid w:val="0"/>
        <w:spacing w:line="420" w:lineRule="atLeast"/>
        <w:jc w:val="center"/>
        <w:rPr>
          <w:rFonts w:hint="eastAsia" w:ascii="宋体" w:hAnsi="宋体" w:cs="Arial"/>
          <w:b/>
          <w:bCs/>
          <w:kern w:val="2"/>
          <w:sz w:val="24"/>
          <w:szCs w:val="21"/>
          <w:lang w:val="en-US" w:eastAsia="zh-CN" w:bidi="ar-SA"/>
        </w:rPr>
      </w:pPr>
      <w:r>
        <w:rPr>
          <w:rFonts w:hint="eastAsia" w:ascii="楷体_GB2312" w:hAnsi="宋体" w:eastAsia="楷体_GB2312" w:cs="Courier New"/>
          <w:b/>
          <w:bCs/>
          <w:color w:val="000000"/>
          <w:kern w:val="0"/>
          <w:sz w:val="24"/>
          <w:szCs w:val="24"/>
          <w:lang w:val="en-US" w:eastAsia="zh-CN" w:bidi="ar-SA"/>
        </w:rPr>
        <w:t xml:space="preserve">表3-9  </w:t>
      </w:r>
      <w:r>
        <w:rPr>
          <w:rFonts w:hint="eastAsia" w:ascii="楷体_GB2312" w:hAnsi="宋体" w:eastAsia="楷体_GB2312" w:cs="Times New Roman"/>
          <w:b/>
          <w:bCs/>
          <w:color w:val="000000"/>
          <w:lang w:val="en-US" w:eastAsia="zh-CN"/>
        </w:rPr>
        <w:t>热舒适度对比表</w:t>
      </w:r>
    </w:p>
    <w:tbl>
      <w:tblPr>
        <w:tblStyle w:val="22"/>
        <w:tblW w:w="4997" w:type="pct"/>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autofit"/>
        <w:tblCellMar>
          <w:top w:w="0" w:type="dxa"/>
          <w:left w:w="10" w:type="dxa"/>
          <w:bottom w:w="0" w:type="dxa"/>
          <w:right w:w="10" w:type="dxa"/>
        </w:tblCellMar>
      </w:tblPr>
      <w:tblGrid>
        <w:gridCol w:w="3244"/>
        <w:gridCol w:w="1912"/>
        <w:gridCol w:w="2145"/>
        <w:gridCol w:w="1723"/>
      </w:tblGrid>
      <w:tr w14:paraId="19C9C61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797" w:type="pct"/>
            <w:tcBorders>
              <w:top w:val="single" w:color="000000" w:sz="4" w:space="0"/>
              <w:left w:val="nil"/>
              <w:bottom w:val="single" w:color="000000" w:sz="4" w:space="0"/>
              <w:right w:val="single" w:color="000000" w:sz="4" w:space="0"/>
              <w:tl2br w:val="nil"/>
            </w:tcBorders>
            <w:shd w:val="clear" w:color="auto" w:fill="FFFFFF"/>
            <w:tcMar>
              <w:top w:w="60" w:type="dxa"/>
              <w:left w:w="120" w:type="dxa"/>
              <w:bottom w:w="30" w:type="dxa"/>
              <w:right w:w="120" w:type="dxa"/>
            </w:tcMar>
          </w:tcPr>
          <w:p w14:paraId="6B7E8BD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对比维度</w:t>
            </w:r>
          </w:p>
        </w:tc>
        <w:tc>
          <w:tcPr>
            <w:tcW w:w="1059"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4BCDE2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改造前</w:t>
            </w:r>
          </w:p>
        </w:tc>
        <w:tc>
          <w:tcPr>
            <w:tcW w:w="1188"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1C57135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改造后</w:t>
            </w:r>
          </w:p>
        </w:tc>
        <w:tc>
          <w:tcPr>
            <w:tcW w:w="954"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4EB885E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变化幅度</w:t>
            </w:r>
          </w:p>
        </w:tc>
      </w:tr>
      <w:tr w14:paraId="674B3B5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797"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30673B0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室内热舒适温度达标比例</w:t>
            </w:r>
          </w:p>
        </w:tc>
        <w:tc>
          <w:tcPr>
            <w:tcW w:w="1059"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7AD3AC1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48.52%</w:t>
            </w:r>
          </w:p>
        </w:tc>
        <w:tc>
          <w:tcPr>
            <w:tcW w:w="1188"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F98029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89.16</w:t>
            </w:r>
            <w:r>
              <w:rPr>
                <w:rFonts w:hint="eastAsia" w:ascii="宋体" w:hAnsi="宋体" w:eastAsia="宋体" w:cs="Courier New"/>
                <w:b w:val="0"/>
                <w:color w:val="000000"/>
                <w:kern w:val="0"/>
                <w:sz w:val="21"/>
                <w:szCs w:val="24"/>
                <w:lang w:val="en-US" w:eastAsia="zh-CN" w:bidi="ar-SA"/>
              </w:rPr>
              <w:t>%</w:t>
            </w:r>
          </w:p>
        </w:tc>
        <w:tc>
          <w:tcPr>
            <w:tcW w:w="954"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6BD5F00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r>
              <w:rPr>
                <w:rFonts w:hint="eastAsia" w:ascii="宋体" w:hAnsi="宋体" w:cs="Courier New"/>
                <w:b w:val="0"/>
                <w:color w:val="000000"/>
                <w:kern w:val="0"/>
                <w:sz w:val="21"/>
                <w:szCs w:val="24"/>
                <w:lang w:val="en-US" w:eastAsia="zh-CN" w:bidi="ar-SA"/>
              </w:rPr>
              <w:t>40.64</w:t>
            </w:r>
            <w:r>
              <w:rPr>
                <w:rFonts w:hint="eastAsia" w:ascii="宋体" w:hAnsi="宋体" w:eastAsia="宋体" w:cs="Courier New"/>
                <w:b w:val="0"/>
                <w:color w:val="000000"/>
                <w:kern w:val="0"/>
                <w:sz w:val="21"/>
                <w:szCs w:val="24"/>
                <w:lang w:val="en-US" w:eastAsia="zh-CN" w:bidi="ar-SA"/>
              </w:rPr>
              <w:t>%</w:t>
            </w:r>
          </w:p>
        </w:tc>
      </w:tr>
      <w:tr w14:paraId="6B7D590E">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797" w:type="pct"/>
            <w:tcBorders>
              <w:top w:val="single" w:color="000000" w:sz="4" w:space="0"/>
              <w:left w:val="nil"/>
              <w:bottom w:val="single" w:color="000000" w:sz="4" w:space="0"/>
              <w:right w:val="single" w:color="000000" w:sz="4" w:space="0"/>
            </w:tcBorders>
            <w:shd w:val="clear" w:color="auto" w:fill="FFFFFF"/>
            <w:tcMar>
              <w:top w:w="60" w:type="dxa"/>
              <w:left w:w="120" w:type="dxa"/>
              <w:bottom w:w="30" w:type="dxa"/>
              <w:right w:w="120" w:type="dxa"/>
            </w:tcMar>
          </w:tcPr>
          <w:p w14:paraId="5C9A28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得分</w:t>
            </w:r>
          </w:p>
        </w:tc>
        <w:tc>
          <w:tcPr>
            <w:tcW w:w="1059"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3CF079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3</w:t>
            </w:r>
            <w:r>
              <w:rPr>
                <w:rFonts w:hint="eastAsia" w:ascii="宋体" w:hAnsi="宋体" w:eastAsia="宋体" w:cs="Courier New"/>
                <w:b w:val="0"/>
                <w:color w:val="000000"/>
                <w:kern w:val="0"/>
                <w:sz w:val="21"/>
                <w:szCs w:val="24"/>
                <w:lang w:val="en-US" w:eastAsia="zh-CN" w:bidi="ar-SA"/>
              </w:rPr>
              <w:t>分</w:t>
            </w:r>
          </w:p>
        </w:tc>
        <w:tc>
          <w:tcPr>
            <w:tcW w:w="1188" w:type="pct"/>
            <w:tcBorders>
              <w:top w:val="single" w:color="000000" w:sz="4" w:space="0"/>
              <w:left w:val="single" w:color="000000" w:sz="4" w:space="0"/>
              <w:bottom w:val="single" w:color="000000" w:sz="4" w:space="0"/>
              <w:right w:val="single" w:color="000000" w:sz="4" w:space="0"/>
            </w:tcBorders>
            <w:shd w:val="clear" w:color="auto" w:fill="FFFFFF"/>
            <w:tcMar>
              <w:top w:w="60" w:type="dxa"/>
              <w:left w:w="120" w:type="dxa"/>
              <w:bottom w:w="30" w:type="dxa"/>
              <w:right w:w="120" w:type="dxa"/>
            </w:tcMar>
          </w:tcPr>
          <w:p w14:paraId="67D261B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7</w:t>
            </w:r>
            <w:r>
              <w:rPr>
                <w:rFonts w:hint="eastAsia" w:ascii="宋体" w:hAnsi="宋体" w:eastAsia="宋体" w:cs="Courier New"/>
                <w:b w:val="0"/>
                <w:color w:val="000000"/>
                <w:kern w:val="0"/>
                <w:sz w:val="21"/>
                <w:szCs w:val="24"/>
                <w:lang w:val="en-US" w:eastAsia="zh-CN" w:bidi="ar-SA"/>
              </w:rPr>
              <w:t>分</w:t>
            </w:r>
          </w:p>
        </w:tc>
        <w:tc>
          <w:tcPr>
            <w:tcW w:w="954" w:type="pct"/>
            <w:tcBorders>
              <w:top w:val="single" w:color="000000" w:sz="4" w:space="0"/>
              <w:left w:val="single" w:color="000000" w:sz="4" w:space="0"/>
              <w:bottom w:val="single" w:color="000000" w:sz="4" w:space="0"/>
              <w:right w:val="nil"/>
            </w:tcBorders>
            <w:shd w:val="clear" w:color="auto" w:fill="FFFFFF"/>
            <w:tcMar>
              <w:top w:w="60" w:type="dxa"/>
              <w:left w:w="120" w:type="dxa"/>
              <w:bottom w:w="30" w:type="dxa"/>
              <w:right w:w="120" w:type="dxa"/>
            </w:tcMar>
          </w:tcPr>
          <w:p w14:paraId="6F59D0A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w:t>
            </w:r>
            <w:r>
              <w:rPr>
                <w:rFonts w:hint="eastAsia" w:ascii="宋体" w:hAnsi="宋体" w:cs="Courier New"/>
                <w:b w:val="0"/>
                <w:color w:val="000000"/>
                <w:kern w:val="0"/>
                <w:sz w:val="21"/>
                <w:szCs w:val="24"/>
                <w:lang w:val="en-US" w:eastAsia="zh-CN" w:bidi="ar-SA"/>
              </w:rPr>
              <w:t>4</w:t>
            </w:r>
            <w:r>
              <w:rPr>
                <w:rFonts w:hint="eastAsia" w:ascii="宋体" w:hAnsi="宋体" w:eastAsia="宋体" w:cs="Courier New"/>
                <w:b w:val="0"/>
                <w:color w:val="000000"/>
                <w:kern w:val="0"/>
                <w:sz w:val="21"/>
                <w:szCs w:val="24"/>
                <w:lang w:val="en-US" w:eastAsia="zh-CN" w:bidi="ar-SA"/>
              </w:rPr>
              <w:t>分</w:t>
            </w:r>
          </w:p>
        </w:tc>
      </w:tr>
    </w:tbl>
    <w:p w14:paraId="68D38166">
      <w:pPr>
        <w:keepNext w:val="0"/>
        <w:keepLines w:val="0"/>
        <w:pageBreakBefore w:val="0"/>
        <w:widowControl w:val="0"/>
        <w:tabs>
          <w:tab w:val="left" w:pos="3472"/>
          <w:tab w:val="clear" w:pos="377"/>
        </w:tabs>
        <w:kinsoku/>
        <w:wordWrap/>
        <w:overflowPunct/>
        <w:topLinePunct w:val="0"/>
        <w:autoSpaceDE/>
        <w:autoSpaceDN/>
        <w:bidi w:val="0"/>
        <w:adjustRightInd/>
        <w:snapToGrid/>
        <w:spacing w:line="240" w:lineRule="auto"/>
        <w:ind w:firstLine="0" w:firstLineChars="0"/>
        <w:textAlignment w:val="auto"/>
        <w:rPr>
          <w:rFonts w:hint="eastAsia" w:ascii="宋体" w:hAnsi="宋体" w:cs="Times New Roman"/>
          <w:spacing w:val="-2"/>
          <w:kern w:val="2"/>
          <w:sz w:val="24"/>
          <w:lang w:val="en-US" w:eastAsia="zh-CN"/>
        </w:rPr>
      </w:pPr>
    </w:p>
    <w:p w14:paraId="69D2D62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cs="Times New Roman"/>
          <w:spacing w:val="-2"/>
          <w:kern w:val="2"/>
          <w:sz w:val="24"/>
          <w:lang w:val="en-US" w:eastAsia="zh-CN"/>
        </w:rPr>
      </w:pPr>
      <w:r>
        <w:rPr>
          <w:rFonts w:hint="eastAsia" w:ascii="宋体" w:hAnsi="宋体" w:eastAsia="宋体" w:cs="Times New Roman"/>
          <w:kern w:val="2"/>
          <w:sz w:val="21"/>
          <w:szCs w:val="24"/>
          <w:lang w:val="en-US" w:eastAsia="zh-CN"/>
        </w:rPr>
        <w:t>图</w:t>
      </w:r>
      <w:r>
        <w:rPr>
          <w:rFonts w:hint="eastAsia" w:ascii="宋体" w:hAnsi="宋体" w:cs="Times New Roman"/>
          <w:kern w:val="2"/>
          <w:sz w:val="21"/>
          <w:szCs w:val="24"/>
          <w:lang w:val="en-US" w:eastAsia="zh-CN"/>
        </w:rPr>
        <w:t>3</w:t>
      </w:r>
      <w:r>
        <w:rPr>
          <w:rFonts w:hint="eastAsia" w:ascii="宋体" w:hAnsi="宋体" w:eastAsia="宋体" w:cs="Times New Roman"/>
          <w:kern w:val="2"/>
          <w:sz w:val="21"/>
          <w:szCs w:val="24"/>
          <w:lang w:val="en-US" w:eastAsia="zh-CN"/>
        </w:rPr>
        <w:t>-</w:t>
      </w:r>
      <w:r>
        <w:rPr>
          <w:rFonts w:hint="eastAsia" w:ascii="宋体" w:hAnsi="宋体" w:cs="Times New Roman"/>
          <w:kern w:val="2"/>
          <w:sz w:val="21"/>
          <w:szCs w:val="24"/>
          <w:lang w:val="en-US" w:eastAsia="zh-CN"/>
        </w:rPr>
        <w:t>5</w:t>
      </w:r>
      <w:r>
        <w:rPr>
          <w:rFonts w:hint="eastAsia" w:ascii="宋体" w:hAnsi="宋体" w:eastAsia="宋体" w:cs="Times New Roman"/>
          <w:kern w:val="2"/>
          <w:sz w:val="21"/>
          <w:szCs w:val="24"/>
          <w:lang w:val="en-US" w:eastAsia="zh-CN"/>
        </w:rPr>
        <w:t xml:space="preserve">  </w:t>
      </w:r>
      <w:r>
        <w:rPr>
          <w:rFonts w:hint="eastAsia" w:ascii="宋体" w:hAnsi="宋体" w:cs="Times New Roman"/>
          <w:kern w:val="2"/>
          <w:sz w:val="21"/>
          <w:szCs w:val="24"/>
          <w:lang w:val="en-US" w:eastAsia="zh-CN"/>
        </w:rPr>
        <w:t>热舒适度比例</w:t>
      </w:r>
      <w:r>
        <w:rPr>
          <w:rFonts w:hint="eastAsia" w:ascii="宋体" w:hAnsi="宋体" w:eastAsia="宋体" w:cs="Times New Roman"/>
          <w:kern w:val="2"/>
          <w:sz w:val="21"/>
          <w:szCs w:val="24"/>
          <w:lang w:val="en-US" w:eastAsia="zh-CN"/>
        </w:rPr>
        <w:t>对比</w:t>
      </w:r>
      <w:r>
        <w:rPr>
          <w:rFonts w:hint="eastAsia" w:ascii="宋体" w:hAnsi="宋体" w:cs="Times New Roman"/>
          <w:kern w:val="2"/>
          <w:sz w:val="21"/>
          <w:szCs w:val="24"/>
          <w:lang w:val="en-US" w:eastAsia="zh-CN"/>
        </w:rPr>
        <w:t>图</w:t>
      </w:r>
    </w:p>
    <w:p w14:paraId="388010A8">
      <w:pPr>
        <w:widowControl w:val="0"/>
        <w:tabs>
          <w:tab w:val="left" w:pos="3472"/>
          <w:tab w:val="clear" w:pos="377"/>
        </w:tabs>
        <w:spacing w:line="400" w:lineRule="exact"/>
        <w:ind w:firstLine="472" w:firstLineChars="200"/>
        <w:rPr>
          <w:rFonts w:hint="eastAsia" w:ascii="宋体" w:hAnsi="宋体" w:cs="Arial"/>
          <w:b/>
          <w:bCs/>
          <w:kern w:val="2"/>
          <w:sz w:val="24"/>
          <w:szCs w:val="21"/>
          <w:lang w:val="en-US" w:eastAsia="zh-CN" w:bidi="ar-SA"/>
        </w:rPr>
      </w:pPr>
      <w:r>
        <w:rPr>
          <w:rFonts w:hint="eastAsia" w:ascii="宋体" w:hAnsi="宋体" w:cs="Times New Roman"/>
          <w:spacing w:val="-2"/>
          <w:kern w:val="2"/>
          <w:sz w:val="24"/>
          <w:lang w:val="en-US" w:eastAsia="zh-CN"/>
        </w:rPr>
        <w:t>通过分析可知：</w:t>
      </w:r>
      <w:r>
        <w:rPr>
          <w:rFonts w:hint="eastAsia" w:ascii="宋体" w:hAnsi="宋体" w:eastAsia="宋体" w:cs="Times New Roman"/>
          <w:spacing w:val="-2"/>
          <w:kern w:val="2"/>
          <w:sz w:val="24"/>
          <w:lang w:val="en-US" w:eastAsia="zh-CN"/>
        </w:rPr>
        <w:t>改造前建筑主要功能房间热舒适达标比例为48.52%，整体达标</w:t>
      </w:r>
      <w:r>
        <w:rPr>
          <w:rFonts w:hint="eastAsia" w:ascii="宋体" w:hAnsi="宋体" w:cs="Times New Roman"/>
          <w:spacing w:val="-2"/>
          <w:kern w:val="2"/>
          <w:sz w:val="24"/>
          <w:lang w:val="en-US" w:eastAsia="zh-CN"/>
        </w:rPr>
        <w:t>水平</w:t>
      </w:r>
      <w:r>
        <w:rPr>
          <w:rFonts w:hint="eastAsia" w:ascii="宋体" w:hAnsi="宋体" w:eastAsia="宋体" w:cs="Times New Roman"/>
          <w:spacing w:val="-2"/>
          <w:kern w:val="2"/>
          <w:sz w:val="24"/>
          <w:lang w:val="en-US" w:eastAsia="zh-CN"/>
        </w:rPr>
        <w:t>；改造后达标比例</w:t>
      </w:r>
      <w:r>
        <w:rPr>
          <w:rFonts w:hint="eastAsia" w:ascii="宋体" w:hAnsi="宋体" w:cs="Times New Roman"/>
          <w:spacing w:val="-2"/>
          <w:kern w:val="2"/>
          <w:sz w:val="24"/>
          <w:lang w:val="en-US" w:eastAsia="zh-CN"/>
        </w:rPr>
        <w:t>提</w:t>
      </w:r>
      <w:r>
        <w:rPr>
          <w:rFonts w:hint="eastAsia" w:ascii="宋体" w:hAnsi="宋体" w:eastAsia="宋体" w:cs="Times New Roman"/>
          <w:spacing w:val="-2"/>
          <w:kern w:val="2"/>
          <w:sz w:val="24"/>
          <w:lang w:val="en-US" w:eastAsia="zh-CN"/>
        </w:rPr>
        <w:t>升至89.16%，超出基础线40.64</w:t>
      </w:r>
      <w:r>
        <w:rPr>
          <w:rFonts w:hint="eastAsia" w:ascii="宋体" w:hAnsi="宋体" w:cs="Times New Roman"/>
          <w:spacing w:val="-2"/>
          <w:kern w:val="2"/>
          <w:sz w:val="24"/>
          <w:lang w:val="en-US" w:eastAsia="zh-CN"/>
        </w:rPr>
        <w:t>%</w:t>
      </w:r>
      <w:r>
        <w:rPr>
          <w:rFonts w:hint="eastAsia" w:ascii="宋体" w:hAnsi="宋体" w:eastAsia="宋体" w:cs="Times New Roman"/>
          <w:spacing w:val="-2"/>
          <w:kern w:val="2"/>
          <w:sz w:val="24"/>
          <w:lang w:val="en-US" w:eastAsia="zh-CN"/>
        </w:rPr>
        <w:t>，室内温度长期处于适应性舒适区间。</w:t>
      </w:r>
    </w:p>
    <w:p w14:paraId="4D59DB1E">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91" w:name="_Toc22653"/>
      <w:r>
        <w:rPr>
          <w:rFonts w:hint="eastAsia" w:ascii="宋体" w:hAnsi="宋体" w:cs="Arial"/>
          <w:b/>
          <w:bCs/>
          <w:kern w:val="2"/>
          <w:sz w:val="24"/>
          <w:szCs w:val="21"/>
          <w:lang w:val="en-US" w:eastAsia="zh-CN" w:bidi="ar-SA"/>
        </w:rPr>
        <w:t>综合节能率计算</w:t>
      </w:r>
      <w:bookmarkEnd w:id="91"/>
    </w:p>
    <w:p w14:paraId="0DF77CF4">
      <w:pPr>
        <w:keepNext/>
        <w:keepLines w:val="0"/>
        <w:pageBreakBefore w:val="0"/>
        <w:widowControl w:val="0"/>
        <w:numPr>
          <w:ilvl w:val="0"/>
          <w:numId w:val="0"/>
        </w:numPr>
        <w:tabs>
          <w:tab w:val="left" w:pos="578"/>
        </w:tabs>
        <w:kinsoku/>
        <w:wordWrap/>
        <w:overflowPunct/>
        <w:topLinePunct w:val="0"/>
        <w:autoSpaceDE/>
        <w:autoSpaceDN/>
        <w:bidi w:val="0"/>
        <w:adjustRightInd/>
        <w:snapToGrid/>
        <w:spacing w:before="0" w:after="0" w:line="400" w:lineRule="exact"/>
        <w:ind w:leftChars="200"/>
        <w:jc w:val="left"/>
        <w:textAlignment w:val="auto"/>
        <w:outlineLvl w:val="2"/>
        <w:rPr>
          <w:rFonts w:hint="eastAsia" w:ascii="宋体" w:hAnsi="宋体" w:cs="Arial"/>
          <w:b/>
          <w:bCs/>
          <w:kern w:val="2"/>
          <w:sz w:val="24"/>
          <w:szCs w:val="21"/>
          <w:lang w:val="en-US" w:eastAsia="zh-CN" w:bidi="ar-SA"/>
        </w:rPr>
      </w:pPr>
      <w:r>
        <w:rPr>
          <w:rFonts w:hint="eastAsia" w:ascii="宋体" w:hAnsi="宋体" w:cs="Arial"/>
          <w:b/>
          <w:bCs/>
          <w:kern w:val="2"/>
          <w:sz w:val="24"/>
          <w:szCs w:val="21"/>
          <w:lang w:val="en-US" w:eastAsia="zh-CN" w:bidi="ar-SA"/>
        </w:rPr>
        <w:br w:type="page"/>
      </w:r>
    </w:p>
    <w:p w14:paraId="2C37A78F">
      <w:pPr>
        <w:keepNext/>
        <w:keepLines/>
        <w:pageBreakBefore w:val="0"/>
        <w:widowControl w:val="0"/>
        <w:numPr>
          <w:ilvl w:val="0"/>
          <w:numId w:val="1"/>
        </w:numPr>
        <w:kinsoku/>
        <w:wordWrap/>
        <w:overflowPunct/>
        <w:topLinePunct w:val="0"/>
        <w:autoSpaceDE/>
        <w:autoSpaceDN/>
        <w:bidi w:val="0"/>
        <w:adjustRightInd/>
        <w:snapToGrid/>
        <w:spacing w:before="0" w:after="0" w:line="400" w:lineRule="exact"/>
        <w:ind w:left="0" w:leftChars="0" w:firstLine="602" w:firstLineChars="200"/>
        <w:jc w:val="left"/>
        <w:textAlignment w:val="auto"/>
        <w:outlineLvl w:val="0"/>
        <w:rPr>
          <w:rFonts w:hint="eastAsia" w:ascii="宋体" w:hAnsi="宋体" w:eastAsia="宋体" w:cs="Times New Roman"/>
          <w:b/>
          <w:kern w:val="44"/>
          <w:sz w:val="30"/>
          <w:szCs w:val="30"/>
          <w:lang w:val="en-US" w:eastAsia="zh-CN" w:bidi="ar-SA"/>
        </w:rPr>
      </w:pPr>
      <w:bookmarkStart w:id="92" w:name="_Toc17717"/>
      <w:r>
        <w:rPr>
          <w:rFonts w:hint="eastAsia" w:ascii="宋体" w:hAnsi="宋体" w:eastAsia="宋体" w:cs="Times New Roman"/>
          <w:b/>
          <w:kern w:val="44"/>
          <w:sz w:val="30"/>
          <w:szCs w:val="30"/>
          <w:lang w:val="en-US" w:eastAsia="zh-CN" w:bidi="ar-SA"/>
        </w:rPr>
        <w:t>绿色建筑星级预评估</w:t>
      </w:r>
      <w:bookmarkEnd w:id="92"/>
    </w:p>
    <w:p w14:paraId="018D101B">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93" w:name="_Toc29605"/>
      <w:r>
        <w:rPr>
          <w:rFonts w:hint="eastAsia" w:ascii="宋体" w:hAnsi="宋体" w:eastAsia="宋体" w:cs="Arial"/>
          <w:b/>
          <w:bCs/>
          <w:iCs/>
          <w:color w:val="000000"/>
          <w:kern w:val="2"/>
          <w:sz w:val="28"/>
          <w:szCs w:val="24"/>
          <w:lang w:val="en-US" w:eastAsia="zh-CN" w:bidi="ar-SA"/>
        </w:rPr>
        <w:t>评价标准选取</w:t>
      </w:r>
      <w:bookmarkEnd w:id="93"/>
    </w:p>
    <w:p w14:paraId="492AF987">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本项目的绿色建筑星级预评估采用国家标准</w:t>
      </w:r>
      <w:r>
        <w:rPr>
          <w:rFonts w:hint="eastAsia" w:ascii="宋体" w:hAnsi="宋体" w:cs="Times New Roman"/>
          <w:spacing w:val="-2"/>
          <w:kern w:val="2"/>
          <w:sz w:val="24"/>
          <w:lang w:val="en-US" w:eastAsia="zh-CN"/>
        </w:rPr>
        <w:t>《绿色建筑评价标准》GB/T 50378-2019（2024年版）</w:t>
      </w:r>
      <w:r>
        <w:rPr>
          <w:rFonts w:hint="eastAsia" w:ascii="宋体" w:hAnsi="宋体" w:eastAsia="宋体" w:cs="Times New Roman"/>
          <w:spacing w:val="-2"/>
          <w:kern w:val="2"/>
          <w:sz w:val="24"/>
          <w:lang w:val="en-US" w:eastAsia="zh-CN"/>
        </w:rPr>
        <w:t>。该标准虽然主要面向新建建筑，但条文内容基本涵盖建筑性能的各项指标，改造后建筑可参照执行。</w:t>
      </w:r>
    </w:p>
    <w:p w14:paraId="4103AC56">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考虑到本项目为既有建筑改造，在评价过程中作如下处理：</w:t>
      </w:r>
    </w:p>
    <w:p w14:paraId="2CCEA4E4">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（1）对与原始场地、原有结构形式等相关的条款，如“合理利用地下空间”“场地生态保护”等，以改造后实际达到的水平为准；</w:t>
      </w:r>
    </w:p>
    <w:p w14:paraId="44AAEEDE">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（2）对无法追溯或无法改变的原有条件，以不扣分也不得分处理，不计入总分计算；</w:t>
      </w:r>
    </w:p>
    <w:p w14:paraId="51E8B100">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（3）其余条款完全按照标准要求进行评价。</w:t>
      </w:r>
    </w:p>
    <w:p w14:paraId="2DB5423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本预评估针对设计改造阶段，假设改造方案全部落地实施。</w:t>
      </w:r>
    </w:p>
    <w:p w14:paraId="79705249">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94" w:name="_Toc13244"/>
      <w:r>
        <w:rPr>
          <w:rFonts w:hint="eastAsia" w:ascii="宋体" w:hAnsi="宋体" w:eastAsia="宋体" w:cs="Arial"/>
          <w:b/>
          <w:bCs/>
          <w:iCs/>
          <w:color w:val="000000"/>
          <w:kern w:val="2"/>
          <w:sz w:val="28"/>
          <w:szCs w:val="24"/>
          <w:lang w:val="en-US" w:eastAsia="zh-CN" w:bidi="ar-SA"/>
        </w:rPr>
        <w:t>方案符合性分析</w:t>
      </w:r>
      <w:bookmarkEnd w:id="94"/>
    </w:p>
    <w:p w14:paraId="7D888B62">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本章节依据</w:t>
      </w:r>
      <w:r>
        <w:rPr>
          <w:rFonts w:hint="eastAsia" w:ascii="宋体" w:hAnsi="宋体" w:cs="Times New Roman"/>
          <w:spacing w:val="-2"/>
          <w:kern w:val="2"/>
          <w:sz w:val="24"/>
          <w:lang w:val="en-US" w:eastAsia="zh-CN"/>
        </w:rPr>
        <w:t>《绿色建筑评价标准》GB/T 50378-2019（2024年版）</w:t>
      </w:r>
      <w:r>
        <w:rPr>
          <w:rFonts w:hint="eastAsia" w:ascii="宋体" w:hAnsi="宋体" w:eastAsia="宋体" w:cs="Times New Roman"/>
          <w:spacing w:val="-2"/>
          <w:kern w:val="2"/>
          <w:sz w:val="24"/>
          <w:lang w:val="en-US" w:eastAsia="zh-CN"/>
        </w:rPr>
        <w:t>的要求，从控制项和评分项两个层面，对本旧建筑节能改造方案的达标情况进行逐项分析。</w:t>
      </w:r>
    </w:p>
    <w:p w14:paraId="38E5F237">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95" w:name="_Toc21938"/>
      <w:r>
        <w:rPr>
          <w:rFonts w:hint="eastAsia" w:ascii="宋体" w:hAnsi="宋体" w:cs="Arial"/>
          <w:b/>
          <w:bCs/>
          <w:kern w:val="2"/>
          <w:sz w:val="24"/>
          <w:szCs w:val="21"/>
          <w:lang w:val="en-US" w:eastAsia="zh-CN" w:bidi="ar-SA"/>
        </w:rPr>
        <w:t>控制项评定</w:t>
      </w:r>
      <w:bookmarkEnd w:id="95"/>
    </w:p>
    <w:p w14:paraId="28EE551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根据</w:t>
      </w:r>
      <w:r>
        <w:rPr>
          <w:rFonts w:hint="eastAsia" w:ascii="宋体" w:hAnsi="宋体" w:cs="Times New Roman"/>
          <w:spacing w:val="-2"/>
          <w:kern w:val="2"/>
          <w:sz w:val="24"/>
          <w:lang w:val="en-US" w:eastAsia="zh-CN"/>
        </w:rPr>
        <w:t>《绿色建筑评价标准》GB/T 50378-2019（2024年版）</w:t>
      </w:r>
      <w:r>
        <w:rPr>
          <w:rFonts w:hint="eastAsia" w:ascii="宋体" w:hAnsi="宋体" w:eastAsia="宋体" w:cs="Times New Roman"/>
          <w:spacing w:val="-2"/>
          <w:kern w:val="2"/>
          <w:sz w:val="24"/>
          <w:lang w:val="en-US" w:eastAsia="zh-CN"/>
        </w:rPr>
        <w:t>中的控制项要求，逐条对本项目进行核查。通过本次节能改造，重点解决了结构安全、防火疏散及基础热工缺陷。</w:t>
      </w:r>
    </w:p>
    <w:p w14:paraId="7ABCCAC8">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经核查，改造方案全部满足控制项要求，具体评定见表4-</w:t>
      </w:r>
      <w:r>
        <w:rPr>
          <w:rFonts w:hint="eastAsia" w:ascii="宋体" w:hAnsi="宋体" w:cs="Times New Roman"/>
          <w:spacing w:val="-2"/>
          <w:kern w:val="2"/>
          <w:sz w:val="24"/>
          <w:lang w:val="en-US" w:eastAsia="zh-CN"/>
        </w:rPr>
        <w:t>1</w:t>
      </w:r>
      <w:r>
        <w:rPr>
          <w:rFonts w:hint="eastAsia" w:ascii="宋体" w:hAnsi="宋体" w:eastAsia="宋体" w:cs="Times New Roman"/>
          <w:spacing w:val="-2"/>
          <w:kern w:val="2"/>
          <w:sz w:val="24"/>
          <w:lang w:val="en-US" w:eastAsia="zh-CN"/>
        </w:rPr>
        <w:t>。</w:t>
      </w:r>
    </w:p>
    <w:p w14:paraId="7961BA42">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表4-1  </w:t>
      </w:r>
      <w:r>
        <w:rPr>
          <w:rFonts w:hint="eastAsia" w:ascii="楷体_GB2312" w:hAnsi="宋体" w:eastAsia="楷体_GB2312" w:cs="Times New Roman"/>
          <w:b/>
          <w:bCs/>
          <w:color w:val="000000"/>
          <w:lang w:val="en-US" w:eastAsia="zh-CN"/>
        </w:rPr>
        <w:t>主要控制项达标判定</w:t>
      </w:r>
    </w:p>
    <w:tbl>
      <w:tblPr>
        <w:tblStyle w:val="22"/>
        <w:tblW w:w="5000" w:type="pct"/>
        <w:jc w:val="center"/>
        <w:shd w:val="clear" w:color="auto" w:fill="FFFFFF"/>
        <w:tblLayout w:type="fixed"/>
        <w:tblCellMar>
          <w:top w:w="15" w:type="dxa"/>
          <w:left w:w="15" w:type="dxa"/>
          <w:bottom w:w="15" w:type="dxa"/>
          <w:right w:w="15" w:type="dxa"/>
        </w:tblCellMar>
      </w:tblPr>
      <w:tblGrid>
        <w:gridCol w:w="758"/>
        <w:gridCol w:w="1849"/>
        <w:gridCol w:w="2197"/>
        <w:gridCol w:w="3761"/>
        <w:gridCol w:w="416"/>
      </w:tblGrid>
      <w:tr w14:paraId="6E641693">
        <w:tblPrEx>
          <w:shd w:val="clear" w:color="auto" w:fill="FFFFFF"/>
          <w:tblCellMar>
            <w:top w:w="15" w:type="dxa"/>
            <w:left w:w="15" w:type="dxa"/>
            <w:bottom w:w="15" w:type="dxa"/>
            <w:right w:w="15" w:type="dxa"/>
          </w:tblCellMar>
        </w:tblPrEx>
        <w:trPr>
          <w:tblHeader/>
          <w:jc w:val="center"/>
        </w:trPr>
        <w:tc>
          <w:tcPr>
            <w:tcW w:w="422" w:type="pct"/>
            <w:tcBorders>
              <w:top w:val="single" w:color="000000" w:sz="4" w:space="0"/>
              <w:left w:val="nil"/>
              <w:bottom w:val="single" w:color="000000" w:sz="4" w:space="0"/>
              <w:right w:val="single" w:color="000000" w:sz="4" w:space="0"/>
              <w:tl2br w:val="nil"/>
            </w:tcBorders>
            <w:shd w:val="clear" w:color="auto" w:fill="FFFFFF"/>
            <w:tcMar>
              <w:top w:w="120" w:type="dxa"/>
              <w:left w:w="0" w:type="dxa"/>
              <w:bottom w:w="120" w:type="dxa"/>
              <w:right w:w="192" w:type="dxa"/>
            </w:tcMar>
            <w:vAlign w:val="center"/>
          </w:tcPr>
          <w:p w14:paraId="31D5684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标准章节</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20EC0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控制项要求</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AA1BC80">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改造前状况</w:t>
            </w:r>
          </w:p>
          <w:p w14:paraId="6AFC9CE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（旧建筑问题）</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D68E8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改造实施方案</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03C469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达标判定</w:t>
            </w:r>
          </w:p>
        </w:tc>
      </w:tr>
      <w:tr w14:paraId="2384DB17">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6D36B5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4.1.1</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74CD6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场地应无洪涝、滑坡、泥石流等危害。</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A6E328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场地地势较高，无洪涝、滑坡等自然灾害风险；场地周边无危险源及辐射危害。</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6009366">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维持原场地排水系统，清理周边杂草，定期维护排水设施；场地周边环境无新增污染源，保持现状。</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0FC76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18FCD585">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006DD31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4.1.3</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C5FCDF7">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外部设施应与建筑主体结构统一设计</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11F360F">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部分梁体有细微裂缝（非结构受力部位），混凝土构件存在局部风化现象。</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20C947E1">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委托第三方机构进行结构安全检测鉴定，确保结构安全等级不低于二级；对裂缝进行高压注浆修补，增设碳纤维布加固；对风化构件进行修补及防腐处理。</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43758E6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2BC5CE8">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2A3A348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5.1.1</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E649C8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室内空气质量满足有关规定。</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223E41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部分墙面涂料、板材释放污染物，室内通风不畅，污染物浓度超标。</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F4721D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拆除或更换老旧、释放污染物的装修材料，采用环保型涂料和板材；优化室内通风设计，增设可开启外窗或机械通风装置。</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64766D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564AFD9">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0612666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5.1.2</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DDAEA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应采取措施避免厨房、卫生间等区域的空气和污染物串通到其他空间。</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30772B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厨房油烟排放装置老化，排烟不畅；卫生间无机械通风设施，异味串入室内其他空间。</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265D58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更换厨房高效油烟净化器，确保油烟达标排放；卫生间增设机械通风设施（排气扇），并设置止回阀防止空气回流；优化厨房、卫生间的气流组织，避免污染物扩散。</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5368F6B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144E571D">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7B8D9E6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6.1.1</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BC89F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设置连贯的无障碍步行系统。</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D46BFC6">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未实现建筑、室外场地、公共绿地、城市道路相互之间</w:t>
            </w:r>
            <w:r>
              <w:rPr>
                <w:rFonts w:hint="eastAsia" w:ascii="宋体" w:hAnsi="宋体" w:cs="Courier New"/>
                <w:b w:val="0"/>
                <w:color w:val="000000"/>
                <w:kern w:val="0"/>
                <w:sz w:val="21"/>
                <w:szCs w:val="24"/>
                <w:lang w:val="en-US" w:eastAsia="zh-CN" w:bidi="ar-SA"/>
              </w:rPr>
              <w:t>设置无障碍步行系统</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26EA747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建筑入口</w:t>
            </w:r>
            <w:r>
              <w:rPr>
                <w:rFonts w:hint="eastAsia" w:ascii="宋体" w:hAnsi="宋体" w:eastAsia="宋体" w:cs="Courier New"/>
                <w:b w:val="0"/>
                <w:color w:val="000000"/>
                <w:kern w:val="0"/>
                <w:sz w:val="21"/>
                <w:szCs w:val="24"/>
                <w:lang w:val="en-US" w:eastAsia="zh-CN" w:bidi="ar-SA"/>
              </w:rPr>
              <w:t>增设无障碍坡道、扶手，平整路面，消除高差</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7026FFC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602D40F7">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6300174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7.1.1</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7BBD6C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应对围护结构、暖通空调系统等进行优化设计，降低建筑能耗。</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85C7D5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围护结构热工性能差，照明系统为普通白炽灯，能耗高；空调系统为老旧分体式空调，能效比低。</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D39658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实施外墙、屋面保温改造，提升围护结构热工性能；更换为一级能效的分体式空调，降低空调能耗。</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5E7F91D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4343862D">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6984579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8.1.</w:t>
            </w:r>
            <w:r>
              <w:rPr>
                <w:rFonts w:hint="eastAsia" w:ascii="宋体" w:hAnsi="宋体" w:cs="Courier New"/>
                <w:b w:val="0"/>
                <w:color w:val="000000"/>
                <w:kern w:val="0"/>
                <w:sz w:val="21"/>
                <w:szCs w:val="24"/>
                <w:lang w:val="en-US" w:eastAsia="zh-CN" w:bidi="ar-SA"/>
              </w:rPr>
              <w:t>6</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9B6003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场地内无超标排放的污染源。</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837126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场地内部分区域存在裸露地面，扬尘较大；场地绿化不足，环境质量较差。</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26A07D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对场地裸露地面进行硬化或绿化处理，铺设透水砖或种植草坪；增加场地绿化面积，种植乡土树种，改善场地微环境；定期清理场地垃圾，保持环境整洁。</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A06FD6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4D622AE4">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761FDEB3">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cs="Courier New"/>
                <w:b w:val="0"/>
                <w:color w:val="000000"/>
                <w:kern w:val="0"/>
                <w:sz w:val="21"/>
                <w:szCs w:val="24"/>
                <w:lang w:val="en-US" w:eastAsia="zh-CN" w:bidi="ar-SA"/>
              </w:rPr>
              <w:t>8.1.7</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971A1D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建筑应设置生活垃圾分类收集设施。</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FA86D2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无专门的生活垃圾分类收集设施，垃圾混投混放，易造成环境污染。</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329B69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在建筑出入口、楼道内设置分类垃圾桶，明确标识可回收物、厨余垃圾、有害垃圾、其他垃圾四类；定期维护分类设施，确保设施完好、标识清晰。</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49549BD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bl>
    <w:p w14:paraId="1E3AD02A">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综上所述，本旧改项目针对原有建筑缺陷采取的改造措施有效，全部满足</w:t>
      </w:r>
      <w:r>
        <w:rPr>
          <w:rFonts w:hint="eastAsia" w:ascii="宋体" w:hAnsi="宋体" w:cs="Times New Roman"/>
          <w:spacing w:val="-2"/>
          <w:kern w:val="2"/>
          <w:sz w:val="24"/>
          <w:lang w:val="en-US" w:eastAsia="zh-CN"/>
        </w:rPr>
        <w:t>《绿色建筑评价标准》GB/T 50378-2019（2024年版）</w:t>
      </w:r>
      <w:r>
        <w:rPr>
          <w:rFonts w:hint="eastAsia" w:ascii="宋体" w:hAnsi="宋体" w:eastAsia="宋体" w:cs="Times New Roman"/>
          <w:spacing w:val="-2"/>
          <w:kern w:val="2"/>
          <w:sz w:val="24"/>
          <w:lang w:val="en-US" w:eastAsia="zh-CN"/>
        </w:rPr>
        <w:t>中控制项的要求，具备进入评分项评定的资格。</w:t>
      </w:r>
    </w:p>
    <w:p w14:paraId="6A5C1902">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96" w:name="_Toc15306"/>
      <w:r>
        <w:rPr>
          <w:rFonts w:hint="eastAsia" w:ascii="宋体" w:hAnsi="宋体" w:cs="Arial"/>
          <w:b/>
          <w:bCs/>
          <w:kern w:val="2"/>
          <w:sz w:val="24"/>
          <w:szCs w:val="21"/>
          <w:lang w:val="en-US" w:eastAsia="zh-CN" w:bidi="ar-SA"/>
        </w:rPr>
        <w:t>评分项分析</w:t>
      </w:r>
      <w:bookmarkEnd w:id="96"/>
    </w:p>
    <w:p w14:paraId="34519CAF">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（1）安全耐久（满分100分）</w:t>
      </w:r>
    </w:p>
    <w:p w14:paraId="2329734F">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表4-2  </w:t>
      </w:r>
      <w:r>
        <w:rPr>
          <w:rFonts w:hint="eastAsia" w:ascii="楷体_GB2312" w:hAnsi="宋体" w:eastAsia="楷体_GB2312" w:cs="Times New Roman"/>
          <w:b/>
          <w:bCs/>
          <w:color w:val="000000"/>
          <w:lang w:val="en-US" w:eastAsia="zh-CN"/>
        </w:rPr>
        <w:t>安全耐久模块得分情况</w:t>
      </w:r>
    </w:p>
    <w:tbl>
      <w:tblPr>
        <w:tblStyle w:val="22"/>
        <w:tblW w:w="5000" w:type="pct"/>
        <w:jc w:val="center"/>
        <w:shd w:val="clear" w:color="auto" w:fill="FFFFFF"/>
        <w:tblLayout w:type="fixed"/>
        <w:tblCellMar>
          <w:top w:w="15" w:type="dxa"/>
          <w:left w:w="15" w:type="dxa"/>
          <w:bottom w:w="15" w:type="dxa"/>
          <w:right w:w="15" w:type="dxa"/>
        </w:tblCellMar>
      </w:tblPr>
      <w:tblGrid>
        <w:gridCol w:w="758"/>
        <w:gridCol w:w="1849"/>
        <w:gridCol w:w="2197"/>
        <w:gridCol w:w="3761"/>
        <w:gridCol w:w="416"/>
      </w:tblGrid>
      <w:tr w14:paraId="2C1E0A63">
        <w:tblPrEx>
          <w:shd w:val="clear" w:color="auto" w:fill="FFFFFF"/>
          <w:tblCellMar>
            <w:top w:w="15" w:type="dxa"/>
            <w:left w:w="15" w:type="dxa"/>
            <w:bottom w:w="15" w:type="dxa"/>
            <w:right w:w="15" w:type="dxa"/>
          </w:tblCellMar>
        </w:tblPrEx>
        <w:trPr>
          <w:tblHeader/>
          <w:jc w:val="center"/>
        </w:trPr>
        <w:tc>
          <w:tcPr>
            <w:tcW w:w="422" w:type="pct"/>
            <w:tcBorders>
              <w:top w:val="single" w:color="000000" w:sz="4" w:space="0"/>
              <w:left w:val="nil"/>
              <w:bottom w:val="single" w:color="000000" w:sz="4" w:space="0"/>
              <w:right w:val="single" w:color="000000" w:sz="4" w:space="0"/>
              <w:tl2br w:val="nil"/>
            </w:tcBorders>
            <w:shd w:val="clear" w:color="auto" w:fill="FFFFFF"/>
            <w:tcMar>
              <w:top w:w="120" w:type="dxa"/>
              <w:left w:w="0" w:type="dxa"/>
              <w:bottom w:w="120" w:type="dxa"/>
              <w:right w:w="192" w:type="dxa"/>
            </w:tcMar>
            <w:vAlign w:val="center"/>
          </w:tcPr>
          <w:p w14:paraId="0AB5C423">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条文编号</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1798F8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评价内容</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74443E2">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改造前状况</w:t>
            </w:r>
          </w:p>
          <w:p w14:paraId="13AC71E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（旧建筑问题）</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BDF33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改造实施方案</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34413974">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得分</w:t>
            </w:r>
          </w:p>
        </w:tc>
      </w:tr>
      <w:tr w14:paraId="67C36EB3">
        <w:tblPrEx>
          <w:shd w:val="clear" w:color="auto" w:fill="FFFFFF"/>
          <w:tblCellMar>
            <w:top w:w="15" w:type="dxa"/>
            <w:left w:w="15" w:type="dxa"/>
            <w:bottom w:w="15" w:type="dxa"/>
            <w:right w:w="15" w:type="dxa"/>
          </w:tblCellMar>
        </w:tblPrEx>
        <w:trPr>
          <w:trHeight w:val="90" w:hRule="atLeast"/>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6CB4D7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4.2.1</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45A40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抗震性能提升</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3D1848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原建筑按 7 度设防，部分梁柱混凝土碳化、开裂。</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D2A5F9B">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碳化区域高压注浆修复+碳纤维布加固，增设屈曲约束支撑。</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7B504C6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0 </w:t>
            </w:r>
          </w:p>
        </w:tc>
      </w:tr>
      <w:tr w14:paraId="6FF43799">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20718CA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4.2.2</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F616E51">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安全防护设施</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A099B8A">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阳台栏杆锈蚀严重且高度不足，存在高空坠物及攀爬风险。</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2C0BB81">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拆除老旧栏杆，重新焊接加高不锈钢护栏，窗户加装限位器。</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4123A70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10 </w:t>
            </w:r>
          </w:p>
        </w:tc>
      </w:tr>
      <w:tr w14:paraId="2362397C">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7933DD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4.2.3</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921C7F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安全玻璃应用</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E1225A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大面积普通玻璃门窗，破碎后易产生尖锐碎片伤人。</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22162B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外窗及阳台玻璃全部更换为钢化夹胶或夹层安全玻璃。</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722DE26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10 </w:t>
            </w:r>
          </w:p>
        </w:tc>
      </w:tr>
      <w:tr w14:paraId="71B8A84B">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380B4CC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4.2.4</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6B7C8A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防滑地面处理</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0F9736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卫生间、厨房及公共楼道地面瓷砖遇水极滑，老人易摔倒。</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C6B41D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铲除原有光滑地砖，重新铺设防滑系数高的哑光防滑砖。</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3DBD3F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10 </w:t>
            </w:r>
          </w:p>
        </w:tc>
      </w:tr>
      <w:tr w14:paraId="2A99A1CA">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50E09A6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4.2.5</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48AAFC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人车分流与照明</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F9AD5D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小区车辆乱停乱放，人行步道夜间光线昏暗。</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4423AD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重新规划车位实现人车分流，步道及活动区增设太阳能LED路灯。</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07092C8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0 </w:t>
            </w:r>
          </w:p>
        </w:tc>
      </w:tr>
      <w:tr w14:paraId="1FC7C301">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3C707F4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4.2.6</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0A85C9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建筑适变性改造</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27FC0C8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户型死板固定，管线老化预埋在墙体内，无法局部改造。</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F2C74C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实施结构与设备管线分离（SI体系），采用装配式装修便于后期灵活拆改。</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7D7796C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14 </w:t>
            </w:r>
          </w:p>
        </w:tc>
      </w:tr>
      <w:tr w14:paraId="36A9E851">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4D59EE5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4.2.7</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C3FCBA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部品部件耐久性</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0055D0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室内给水管线锈蚀堵塞，电线老化严重，频繁漏水跳闸。</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246C06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全屋更换为不锈钢或PPR耐腐蚀管材，主干线升级为阻燃铜芯电缆。</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6B834BA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10 </w:t>
            </w:r>
          </w:p>
        </w:tc>
      </w:tr>
      <w:tr w14:paraId="4382C723">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03D327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4.2.8</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62A362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结构材料耐久性</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24AF43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地下室剪力墙受地下水侵蚀泛碱，部分钢筋外露生锈。</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86EAE9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涂刷渗透结晶型防水防腐涂料，对裸露钢筋进行阻锈剂处理并重做保护层。</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341F39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10 </w:t>
            </w:r>
          </w:p>
        </w:tc>
      </w:tr>
      <w:tr w14:paraId="10AA572C">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233E59E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4.2.9</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9E3325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装饰装修耐久性</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BCBAAB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外墙涂料褪色粉化严重，屋面防水层失效常年渗漏。</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C7ABBC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外墙喷涂弹性氟碳漆，屋面重做双层防水并加铺耐候性强的金属屋面瓦。</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68DA311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9 </w:t>
            </w:r>
          </w:p>
        </w:tc>
      </w:tr>
    </w:tbl>
    <w:p w14:paraId="3921E68A">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2024版标准要求每类指标评分项得分不应小于其满分值的30%，即30分。本项目安全耐久类得分为</w:t>
      </w:r>
      <w:r>
        <w:rPr>
          <w:rFonts w:hint="eastAsia" w:ascii="宋体" w:hAnsi="宋体" w:cs="Times New Roman"/>
          <w:spacing w:val="-2"/>
          <w:kern w:val="2"/>
          <w:sz w:val="24"/>
          <w:lang w:val="en-US" w:eastAsia="zh-CN"/>
        </w:rPr>
        <w:t>73</w:t>
      </w:r>
      <w:r>
        <w:rPr>
          <w:rFonts w:hint="eastAsia" w:ascii="宋体" w:hAnsi="宋体" w:eastAsia="宋体" w:cs="Times New Roman"/>
          <w:spacing w:val="-2"/>
          <w:kern w:val="2"/>
          <w:sz w:val="24"/>
          <w:lang w:val="en-US" w:eastAsia="zh-CN"/>
        </w:rPr>
        <w:t>分，已达到要求。</w:t>
      </w:r>
    </w:p>
    <w:p w14:paraId="5BC3A1FD">
      <w:pPr>
        <w:widowControl w:val="0"/>
        <w:numPr>
          <w:ilvl w:val="0"/>
          <w:numId w:val="2"/>
        </w:numPr>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健康舒适</w:t>
      </w:r>
    </w:p>
    <w:p w14:paraId="0EBAC33B">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表4-3  </w:t>
      </w:r>
      <w:r>
        <w:rPr>
          <w:rFonts w:hint="eastAsia" w:ascii="楷体_GB2312" w:hAnsi="宋体" w:eastAsia="楷体_GB2312" w:cs="Times New Roman"/>
          <w:b/>
          <w:bCs/>
          <w:color w:val="000000"/>
          <w:lang w:val="en-US" w:eastAsia="zh-CN"/>
        </w:rPr>
        <w:t>健康舒适模块得分情况</w:t>
      </w:r>
    </w:p>
    <w:tbl>
      <w:tblPr>
        <w:tblStyle w:val="22"/>
        <w:tblW w:w="5000" w:type="pct"/>
        <w:jc w:val="center"/>
        <w:shd w:val="clear" w:color="auto" w:fill="FFFFFF"/>
        <w:tblLayout w:type="fixed"/>
        <w:tblCellMar>
          <w:top w:w="15" w:type="dxa"/>
          <w:left w:w="15" w:type="dxa"/>
          <w:bottom w:w="15" w:type="dxa"/>
          <w:right w:w="15" w:type="dxa"/>
        </w:tblCellMar>
      </w:tblPr>
      <w:tblGrid>
        <w:gridCol w:w="758"/>
        <w:gridCol w:w="1849"/>
        <w:gridCol w:w="2197"/>
        <w:gridCol w:w="3761"/>
        <w:gridCol w:w="416"/>
      </w:tblGrid>
      <w:tr w14:paraId="2F1AB419">
        <w:tblPrEx>
          <w:shd w:val="clear" w:color="auto" w:fill="FFFFFF"/>
          <w:tblCellMar>
            <w:top w:w="15" w:type="dxa"/>
            <w:left w:w="15" w:type="dxa"/>
            <w:bottom w:w="15" w:type="dxa"/>
            <w:right w:w="15" w:type="dxa"/>
          </w:tblCellMar>
        </w:tblPrEx>
        <w:trPr>
          <w:tblHeader/>
          <w:jc w:val="center"/>
        </w:trPr>
        <w:tc>
          <w:tcPr>
            <w:tcW w:w="422" w:type="pct"/>
            <w:tcBorders>
              <w:top w:val="single" w:color="000000" w:sz="4" w:space="0"/>
              <w:left w:val="nil"/>
              <w:bottom w:val="single" w:color="000000" w:sz="4" w:space="0"/>
              <w:right w:val="single" w:color="000000" w:sz="4" w:space="0"/>
              <w:tl2br w:val="nil"/>
            </w:tcBorders>
            <w:shd w:val="clear" w:color="auto" w:fill="FFFFFF"/>
            <w:tcMar>
              <w:top w:w="120" w:type="dxa"/>
              <w:left w:w="0" w:type="dxa"/>
              <w:bottom w:w="120" w:type="dxa"/>
              <w:right w:w="192" w:type="dxa"/>
            </w:tcMar>
            <w:vAlign w:val="center"/>
          </w:tcPr>
          <w:p w14:paraId="229DEAFF">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条文编号</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30E09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评价内容</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1066528">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改造前状况</w:t>
            </w:r>
          </w:p>
          <w:p w14:paraId="63000CC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（旧建筑问题）</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24C0289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改造实施方案</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50C67F3C">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得分</w:t>
            </w:r>
          </w:p>
        </w:tc>
      </w:tr>
      <w:tr w14:paraId="7356CE07">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170A7E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5.2.1</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53E786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室内空气品质</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8A9337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装修残留甲醛、TVOC等污染物严重超标，异味刺鼻。</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129FA2B">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彻底清除劣质板材，增设新风换气系统强制通风，摆放绿植吸附。</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70E0DDC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12 </w:t>
            </w:r>
          </w:p>
        </w:tc>
      </w:tr>
      <w:tr w14:paraId="0CE7543E">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5B7088A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5.2.2</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EFF5794">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绿色装饰装修</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DE81783">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使用了大量非标劣质板材和胶水，有害物质释放周期长。</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25BE97E5">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严格控制材料进场检验，主要家具及辅材选用符合国家绿色产品认证的材料。</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76F4CCE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0 </w:t>
            </w:r>
          </w:p>
        </w:tc>
      </w:tr>
      <w:tr w14:paraId="53F8AE87">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4193188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5.2.3</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72DE45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水质安全保障</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7F28FE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老旧镀锌管生锈导致自来水发黄，屋顶水箱长期未清洗滋生细菌。</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89C6CAA">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拆除室内明装镀锌管，更换为PPR或铜管，彻底清洗消毒屋顶水箱并加装净水器。</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AFD255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8 </w:t>
            </w:r>
          </w:p>
        </w:tc>
      </w:tr>
      <w:tr w14:paraId="3E70C764">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045DACD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5.2.4</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BCFE39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储水设施卫生</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F8F11F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生活水箱材质不符合卫生标准，底部淤泥堆积，蚊虫鼠患易滋生。</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C68FDE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更换为符合饮用水标准的搪瓷钢板或不锈钢成品水箱，加装防虫网和溢水报警。</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0ABDAB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9 </w:t>
            </w:r>
          </w:p>
        </w:tc>
      </w:tr>
      <w:tr w14:paraId="3A0CF509">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03DD006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5.2.5</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8C5A2D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管道标识清晰</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E5C14E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地下室及管井内管线杂乱无章，维修寻找阀门困难且易误操作。</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DDAD23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对所有隐蔽及明敷管线进行整修，采用统一的彩色标识带和箭头指示流向。</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42DD9CF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8 </w:t>
            </w:r>
          </w:p>
        </w:tc>
      </w:tr>
      <w:tr w14:paraId="57E1C533">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3615C8E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5.2.6</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BC405F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室内声环境</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3681F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楼板隔音极差，楼上走动脚步声清晰可闻，水泵房噪音扰民。</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740691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卧室及客厅地面加铺浮筑楼板或厚地毯，水泵房做隔音减振吊顶处理。</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54E3360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8 </w:t>
            </w:r>
          </w:p>
        </w:tc>
      </w:tr>
      <w:tr w14:paraId="3C5FFCAA">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756AEFE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5.2.7</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95D794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主要功能房隔声</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87B3D3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分户墙为轻质空心砖，邻居电视声和说话声听得一清二楚。</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B1EEA4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在分户墙另一侧加装轻钢龙骨石膏板隔墙（内填吸音棉），或增设隔音软包背景墙。</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0BC0D5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6 </w:t>
            </w:r>
          </w:p>
        </w:tc>
      </w:tr>
      <w:tr w14:paraId="125D998C">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54EDCBD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5.2.8</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2C72EA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天然光利用</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718624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户型进深过大，中间区域常年无直射光，白天开灯仍显昏暗。</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075050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南向阳台采用高透光玻璃封窗，暗厨暗卫安装导光管采光系统引入自然光。</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30F7F5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8 </w:t>
            </w:r>
          </w:p>
        </w:tc>
      </w:tr>
      <w:tr w14:paraId="0B3BD4FB">
        <w:tblPrEx>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3B489C33">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5.2.</w:t>
            </w:r>
            <w:r>
              <w:rPr>
                <w:rFonts w:hint="eastAsia" w:ascii="宋体" w:hAnsi="宋体" w:eastAsia="宋体" w:cs="Courier New"/>
                <w:b w:val="0"/>
                <w:color w:val="000000"/>
                <w:kern w:val="0"/>
                <w:sz w:val="21"/>
                <w:szCs w:val="24"/>
                <w:lang w:val="en-US" w:eastAsia="zh-CN" w:bidi="ar-SA"/>
              </w:rPr>
              <w:t>9</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AADBD5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热湿环境调节</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5622CE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建筑气密性差，冷热空气容易交换流失，冬冷夏热。</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CDA09C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对门窗缝隙进行发泡剂封堵，更换高性能断桥铝合金门窗，提升整体气密性。</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3EE62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4 </w:t>
            </w:r>
          </w:p>
        </w:tc>
      </w:tr>
      <w:tr w14:paraId="536883FB">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49DB84B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5.2.10</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6275CE7">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自然通风</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2F902FD">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门窗开启面积不足</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812CCBD">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更换门窗，科学合理设置开启面积</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4EFEED4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6 </w:t>
            </w:r>
          </w:p>
        </w:tc>
      </w:tr>
      <w:tr w14:paraId="314852B6">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507D735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5.2.11</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23ED1F6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遮阳设施优化</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24C2777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夏季西晒强烈，室内温度极高，空调长时间满负荷运转。</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85385F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西侧及顶层窗户加装外置电动百叶或铝合金遮阳篷，有效阻挡直射阳光。</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3C7B754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5 </w:t>
            </w:r>
          </w:p>
        </w:tc>
      </w:tr>
    </w:tbl>
    <w:p w14:paraId="236C99D1">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2024版标准要求每类指标评分项得分不应小于其满分值的30%，即30分。本项目健康舒适类得分为</w:t>
      </w:r>
      <w:r>
        <w:rPr>
          <w:rFonts w:hint="eastAsia" w:ascii="宋体" w:hAnsi="宋体" w:cs="Times New Roman"/>
          <w:spacing w:val="-2"/>
          <w:kern w:val="2"/>
          <w:sz w:val="24"/>
          <w:lang w:val="en-US" w:eastAsia="zh-CN"/>
        </w:rPr>
        <w:t>74</w:t>
      </w:r>
      <w:r>
        <w:rPr>
          <w:rFonts w:hint="eastAsia" w:ascii="宋体" w:hAnsi="宋体" w:eastAsia="宋体" w:cs="Times New Roman"/>
          <w:spacing w:val="-2"/>
          <w:kern w:val="2"/>
          <w:sz w:val="24"/>
          <w:lang w:val="en-US" w:eastAsia="zh-CN"/>
        </w:rPr>
        <w:t>分，已达到要求</w:t>
      </w:r>
    </w:p>
    <w:p w14:paraId="031A66B5">
      <w:pPr>
        <w:widowControl w:val="0"/>
        <w:numPr>
          <w:ilvl w:val="0"/>
          <w:numId w:val="2"/>
        </w:numPr>
        <w:tabs>
          <w:tab w:val="left" w:pos="3472"/>
          <w:tab w:val="clear" w:pos="377"/>
        </w:tabs>
        <w:spacing w:line="400" w:lineRule="exact"/>
        <w:ind w:left="0" w:leftChars="0"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生活便利</w:t>
      </w:r>
    </w:p>
    <w:p w14:paraId="4EE05997">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表4-4  </w:t>
      </w:r>
      <w:r>
        <w:rPr>
          <w:rFonts w:hint="eastAsia" w:ascii="楷体_GB2312" w:hAnsi="宋体" w:eastAsia="楷体_GB2312" w:cs="Times New Roman"/>
          <w:b/>
          <w:bCs/>
          <w:color w:val="000000"/>
          <w:lang w:val="en-US" w:eastAsia="zh-CN"/>
        </w:rPr>
        <w:t>生活便利模块得分情况</w:t>
      </w:r>
    </w:p>
    <w:tbl>
      <w:tblPr>
        <w:tblStyle w:val="22"/>
        <w:tblW w:w="5000" w:type="pct"/>
        <w:jc w:val="center"/>
        <w:shd w:val="clear" w:color="auto" w:fill="FFFFFF"/>
        <w:tblLayout w:type="fixed"/>
        <w:tblCellMar>
          <w:top w:w="15" w:type="dxa"/>
          <w:left w:w="15" w:type="dxa"/>
          <w:bottom w:w="15" w:type="dxa"/>
          <w:right w:w="15" w:type="dxa"/>
        </w:tblCellMar>
      </w:tblPr>
      <w:tblGrid>
        <w:gridCol w:w="758"/>
        <w:gridCol w:w="1849"/>
        <w:gridCol w:w="2197"/>
        <w:gridCol w:w="3761"/>
        <w:gridCol w:w="416"/>
      </w:tblGrid>
      <w:tr w14:paraId="6EED320E">
        <w:tblPrEx>
          <w:shd w:val="clear" w:color="auto" w:fill="FFFFFF"/>
          <w:tblCellMar>
            <w:top w:w="15" w:type="dxa"/>
            <w:left w:w="15" w:type="dxa"/>
            <w:bottom w:w="15" w:type="dxa"/>
            <w:right w:w="15" w:type="dxa"/>
          </w:tblCellMar>
        </w:tblPrEx>
        <w:trPr>
          <w:tblHeader/>
          <w:jc w:val="center"/>
        </w:trPr>
        <w:tc>
          <w:tcPr>
            <w:tcW w:w="422" w:type="pct"/>
            <w:tcBorders>
              <w:top w:val="single" w:color="000000" w:sz="4" w:space="0"/>
              <w:left w:val="nil"/>
              <w:bottom w:val="single" w:color="000000" w:sz="4" w:space="0"/>
              <w:right w:val="single" w:color="000000" w:sz="4" w:space="0"/>
              <w:tl2br w:val="nil"/>
            </w:tcBorders>
            <w:shd w:val="clear" w:color="auto" w:fill="FFFFFF"/>
            <w:tcMar>
              <w:top w:w="120" w:type="dxa"/>
              <w:left w:w="0" w:type="dxa"/>
              <w:bottom w:w="120" w:type="dxa"/>
              <w:right w:w="192" w:type="dxa"/>
            </w:tcMar>
            <w:vAlign w:val="center"/>
          </w:tcPr>
          <w:p w14:paraId="47A356AD">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条文编号</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980F71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评价内容</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73C8FC1">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改造前状况</w:t>
            </w:r>
          </w:p>
          <w:p w14:paraId="75BFBC5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（旧建筑问题）</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6661D0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改造实施方案</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4746FBF0">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得分</w:t>
            </w:r>
          </w:p>
        </w:tc>
      </w:tr>
      <w:tr w14:paraId="60187B17">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166183C8">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6.2.1</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D22C0F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公共交通便捷性</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0B2EFEB">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小区出入口距离公交站点远，无便捷步行路径</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A4271B7">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优化小区出入口，增设无障碍步行连廊，与公交站点连通</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3A71A46F">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0 </w:t>
            </w:r>
          </w:p>
        </w:tc>
      </w:tr>
      <w:tr w14:paraId="1290E8BE">
        <w:tblPrEx>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299CC0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6.2.2</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C6EC964">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场地无障碍设计</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C47A2B4">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公共区域台阶多、无扶手，坡道缺失，老年人通行不便</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E91FFA2">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增设无障碍坡道、扶手，平整路面，消除高差</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55914E0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8 </w:t>
            </w:r>
          </w:p>
        </w:tc>
      </w:tr>
      <w:tr w14:paraId="6BD33C0A">
        <w:tblPrEx>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079847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6.2.3</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D6C75C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公共服务设施配置</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A58E7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周边便民设施距离远，社区服务配套不足</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91FA86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引入社区便民服务点、智能快递柜，增设共享服务设施</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391444E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0 </w:t>
            </w:r>
          </w:p>
        </w:tc>
      </w:tr>
      <w:tr w14:paraId="152BC4C7">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17402B4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6.2.4</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EFC2E0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城市绿地可达</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97133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小区距离城市绿地/公共运动场地远，无安全步行通道</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61935E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打通步行通道，增设安全标识，优化步行路线连通周边公共空间</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02391AB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0 </w:t>
            </w:r>
          </w:p>
        </w:tc>
      </w:tr>
      <w:tr w14:paraId="454D1E55">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238B015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6.2.5</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91D7DC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健身活动空间</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14C994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小区内无固定健身场地，居民缺少活动空间</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C1AC92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改造闲置场地，增设户外健身器材，利用架空层打造室内活动区</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CDD33E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10 </w:t>
            </w:r>
          </w:p>
        </w:tc>
      </w:tr>
      <w:tr w14:paraId="52461248">
        <w:tblPrEx>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7126877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6.2.6</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709470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智能监测系统</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27F48B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无能耗计量系统，公共用电、用水无法分项统计与管理</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31FAF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加装分项电能表、远传水表，搭建简易能耗监测平台</w:t>
            </w:r>
          </w:p>
        </w:tc>
        <w:tc>
          <w:tcPr>
            <w:tcW w:w="231" w:type="pct"/>
            <w:tcBorders>
              <w:top w:val="single" w:color="000000" w:sz="4" w:space="0"/>
              <w:left w:val="single" w:color="000000" w:sz="4" w:space="0"/>
              <w:bottom w:val="single" w:color="000000" w:sz="4" w:space="0"/>
              <w:right w:val="nil"/>
            </w:tcBorders>
            <w:shd w:val="clear" w:color="auto" w:fill="auto"/>
            <w:tcMar>
              <w:top w:w="120" w:type="dxa"/>
              <w:left w:w="192" w:type="dxa"/>
              <w:bottom w:w="120" w:type="dxa"/>
              <w:right w:w="0" w:type="dxa"/>
            </w:tcMar>
            <w:vAlign w:val="center"/>
          </w:tcPr>
          <w:p w14:paraId="0133BE1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0 </w:t>
            </w:r>
          </w:p>
        </w:tc>
      </w:tr>
      <w:tr w14:paraId="35C3391F">
        <w:tblPrEx>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508468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6.2.7</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F081C46">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空气检测系统</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14B41D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无室内/公共区域空气质量监测设备，无法掌握环境质量</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2A41BA2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在公共区域、电梯厅加装空气质量监测终端，接入集中显示系统</w:t>
            </w:r>
          </w:p>
        </w:tc>
        <w:tc>
          <w:tcPr>
            <w:tcW w:w="231" w:type="pct"/>
            <w:tcBorders>
              <w:top w:val="single" w:color="000000" w:sz="4" w:space="0"/>
              <w:left w:val="single" w:color="000000" w:sz="4" w:space="0"/>
              <w:bottom w:val="single" w:color="000000" w:sz="4" w:space="0"/>
              <w:right w:val="nil"/>
            </w:tcBorders>
            <w:shd w:val="clear" w:color="auto" w:fill="auto"/>
            <w:tcMar>
              <w:top w:w="120" w:type="dxa"/>
              <w:left w:w="192" w:type="dxa"/>
              <w:bottom w:w="120" w:type="dxa"/>
              <w:right w:w="0" w:type="dxa"/>
            </w:tcMar>
            <w:vAlign w:val="center"/>
          </w:tcPr>
          <w:p w14:paraId="7CE6D3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5 </w:t>
            </w:r>
          </w:p>
        </w:tc>
      </w:tr>
      <w:tr w14:paraId="7D0E325D">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36F7827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6.2.8</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0566F83">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水远传系统</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18650D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用水计量为人工抄表，无水质监测，用水管理粗放</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732A2A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更换为远传智能水表，关键供水节点加装水质在线监测设备</w:t>
            </w:r>
          </w:p>
        </w:tc>
        <w:tc>
          <w:tcPr>
            <w:tcW w:w="231" w:type="pct"/>
            <w:tcBorders>
              <w:top w:val="single" w:color="000000" w:sz="4" w:space="0"/>
              <w:left w:val="single" w:color="000000" w:sz="4" w:space="0"/>
              <w:bottom w:val="single" w:color="000000" w:sz="4" w:space="0"/>
              <w:right w:val="nil"/>
            </w:tcBorders>
            <w:shd w:val="clear" w:color="auto" w:fill="auto"/>
            <w:tcMar>
              <w:top w:w="120" w:type="dxa"/>
              <w:left w:w="192" w:type="dxa"/>
              <w:bottom w:w="120" w:type="dxa"/>
              <w:right w:w="0" w:type="dxa"/>
            </w:tcMar>
            <w:vAlign w:val="center"/>
          </w:tcPr>
          <w:p w14:paraId="0F951C9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3 </w:t>
            </w:r>
          </w:p>
        </w:tc>
      </w:tr>
      <w:tr w14:paraId="42F1D641">
        <w:tblPrEx>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7D66835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6.2.9</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58F735F">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智能化服务</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5F7EC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小区无智能安防、无线上服务平台，管理效率低</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8B6A77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加装人脸识别门禁、视频监控，搭建社区线上服务小程序</w:t>
            </w:r>
          </w:p>
        </w:tc>
        <w:tc>
          <w:tcPr>
            <w:tcW w:w="231" w:type="pct"/>
            <w:tcBorders>
              <w:top w:val="single" w:color="000000" w:sz="4" w:space="0"/>
              <w:left w:val="single" w:color="000000" w:sz="4" w:space="0"/>
              <w:bottom w:val="single" w:color="000000" w:sz="4" w:space="0"/>
              <w:right w:val="nil"/>
            </w:tcBorders>
            <w:shd w:val="clear" w:color="auto" w:fill="auto"/>
            <w:tcMar>
              <w:top w:w="120" w:type="dxa"/>
              <w:left w:w="192" w:type="dxa"/>
              <w:bottom w:w="120" w:type="dxa"/>
              <w:right w:w="0" w:type="dxa"/>
            </w:tcMar>
            <w:vAlign w:val="center"/>
          </w:tcPr>
          <w:p w14:paraId="602383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6 </w:t>
            </w:r>
          </w:p>
        </w:tc>
      </w:tr>
    </w:tbl>
    <w:p w14:paraId="033069A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2024版标准要求每类指标评分项得分不应小于其满分值的30%，即</w:t>
      </w:r>
      <w:r>
        <w:rPr>
          <w:rFonts w:hint="eastAsia" w:ascii="宋体" w:hAnsi="宋体" w:cs="Times New Roman"/>
          <w:spacing w:val="-2"/>
          <w:kern w:val="2"/>
          <w:sz w:val="24"/>
          <w:lang w:val="en-US" w:eastAsia="zh-CN"/>
        </w:rPr>
        <w:t>21</w:t>
      </w:r>
      <w:r>
        <w:rPr>
          <w:rFonts w:hint="eastAsia" w:ascii="宋体" w:hAnsi="宋体" w:eastAsia="宋体" w:cs="Times New Roman"/>
          <w:spacing w:val="-2"/>
          <w:kern w:val="2"/>
          <w:sz w:val="24"/>
          <w:lang w:val="en-US" w:eastAsia="zh-CN"/>
        </w:rPr>
        <w:t>分。本项目生活便利类得分为</w:t>
      </w:r>
      <w:r>
        <w:rPr>
          <w:rFonts w:hint="eastAsia" w:ascii="宋体" w:hAnsi="宋体" w:cs="Times New Roman"/>
          <w:spacing w:val="-2"/>
          <w:kern w:val="2"/>
          <w:sz w:val="24"/>
          <w:lang w:val="en-US" w:eastAsia="zh-CN"/>
        </w:rPr>
        <w:t>32</w:t>
      </w:r>
      <w:r>
        <w:rPr>
          <w:rFonts w:hint="eastAsia" w:ascii="宋体" w:hAnsi="宋体" w:eastAsia="宋体" w:cs="Times New Roman"/>
          <w:spacing w:val="-2"/>
          <w:kern w:val="2"/>
          <w:sz w:val="24"/>
          <w:lang w:val="en-US" w:eastAsia="zh-CN"/>
        </w:rPr>
        <w:t>分，已达到要求</w:t>
      </w:r>
    </w:p>
    <w:p w14:paraId="719A8CAA">
      <w:pPr>
        <w:widowControl w:val="0"/>
        <w:numPr>
          <w:ilvl w:val="0"/>
          <w:numId w:val="2"/>
        </w:numPr>
        <w:tabs>
          <w:tab w:val="left" w:pos="3472"/>
          <w:tab w:val="clear" w:pos="377"/>
        </w:tabs>
        <w:spacing w:line="400" w:lineRule="exact"/>
        <w:ind w:left="0" w:leftChars="0"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资源节约</w:t>
      </w:r>
    </w:p>
    <w:p w14:paraId="0B51BC5E">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表4-5  </w:t>
      </w:r>
      <w:r>
        <w:rPr>
          <w:rFonts w:hint="eastAsia" w:ascii="楷体_GB2312" w:hAnsi="宋体" w:eastAsia="楷体_GB2312" w:cs="Times New Roman"/>
          <w:b/>
          <w:bCs/>
          <w:color w:val="000000"/>
          <w:lang w:val="en-US" w:eastAsia="zh-CN"/>
        </w:rPr>
        <w:t>资源节约模块得分情况</w:t>
      </w:r>
    </w:p>
    <w:tbl>
      <w:tblPr>
        <w:tblStyle w:val="22"/>
        <w:tblW w:w="5000" w:type="pct"/>
        <w:jc w:val="center"/>
        <w:shd w:val="clear" w:color="auto" w:fill="FFFFFF"/>
        <w:tblLayout w:type="fixed"/>
        <w:tblCellMar>
          <w:top w:w="15" w:type="dxa"/>
          <w:left w:w="15" w:type="dxa"/>
          <w:bottom w:w="15" w:type="dxa"/>
          <w:right w:w="15" w:type="dxa"/>
        </w:tblCellMar>
      </w:tblPr>
      <w:tblGrid>
        <w:gridCol w:w="758"/>
        <w:gridCol w:w="1849"/>
        <w:gridCol w:w="2197"/>
        <w:gridCol w:w="3761"/>
        <w:gridCol w:w="416"/>
      </w:tblGrid>
      <w:tr w14:paraId="6FB0ECDD">
        <w:tblPrEx>
          <w:shd w:val="clear" w:color="auto" w:fill="FFFFFF"/>
          <w:tblCellMar>
            <w:top w:w="15" w:type="dxa"/>
            <w:left w:w="15" w:type="dxa"/>
            <w:bottom w:w="15" w:type="dxa"/>
            <w:right w:w="15" w:type="dxa"/>
          </w:tblCellMar>
        </w:tblPrEx>
        <w:trPr>
          <w:tblHeader/>
          <w:jc w:val="center"/>
        </w:trPr>
        <w:tc>
          <w:tcPr>
            <w:tcW w:w="422" w:type="pct"/>
            <w:tcBorders>
              <w:top w:val="single" w:color="000000" w:sz="4" w:space="0"/>
              <w:left w:val="nil"/>
              <w:bottom w:val="single" w:color="000000" w:sz="4" w:space="0"/>
              <w:right w:val="single" w:color="000000" w:sz="4" w:space="0"/>
              <w:tl2br w:val="nil"/>
            </w:tcBorders>
            <w:shd w:val="clear" w:color="auto" w:fill="FFFFFF"/>
            <w:tcMar>
              <w:top w:w="120" w:type="dxa"/>
              <w:left w:w="0" w:type="dxa"/>
              <w:bottom w:w="120" w:type="dxa"/>
              <w:right w:w="192" w:type="dxa"/>
            </w:tcMar>
            <w:vAlign w:val="center"/>
          </w:tcPr>
          <w:p w14:paraId="20D65728">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条文编号</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755AB4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评价内容</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77FDD37">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改造前状况</w:t>
            </w:r>
          </w:p>
          <w:p w14:paraId="22F7DB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（旧建筑问题）</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2797E9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改造实施方案</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21B6C9AE">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得分</w:t>
            </w:r>
          </w:p>
        </w:tc>
      </w:tr>
      <w:tr w14:paraId="1186CF4A">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6B99CA0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7.2.1</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C75F03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节约集约利用土地</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6F16B1D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小区土地利用效率低，空地闲置、布局混乱</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7A62310">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优化场地布局，整合闲置用地，提升土地利用率</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0EBC8B6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12 </w:t>
            </w:r>
          </w:p>
        </w:tc>
      </w:tr>
      <w:tr w14:paraId="66764A99">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64E1DD2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7.2.2</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BA1D104">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合理开发利用地下空间</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642393C6">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地下空间闲置，仅作为杂物堆放区，未合理利用</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FBE440F">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改造地下闲置空间为储藏室、非机动车库或设备间</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F39170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0 </w:t>
            </w:r>
          </w:p>
        </w:tc>
      </w:tr>
      <w:tr w14:paraId="356DE359">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4061385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7.2.3</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0577A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采用机械式停车设施、地下停车库或地面停车楼等方式</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C6F2BF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地面停车位不足，无机械式/立体停车设施，停车混乱</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0C3D5A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规整地面车位，暂不新增立体停车设施，优化停车管理</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3A54D2F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0 </w:t>
            </w:r>
          </w:p>
        </w:tc>
      </w:tr>
      <w:tr w14:paraId="1BEE33CC">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185A876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7.2.4</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B7ED51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优化建筑围护结构的热工性能</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B92E2A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外墙保温层老化脱落，门窗气密性差，能耗高</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7433B3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外墙增设保温层，更换断桥铝节能窗，提升围护结构保温性能</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619A95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5 </w:t>
            </w:r>
          </w:p>
        </w:tc>
      </w:tr>
      <w:tr w14:paraId="1364DD8B">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197B036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7.2.5</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294D59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供暖空调系统的冷、热源机组能效优于现行标准要求</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2817E0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原有空调设备老旧，能效比低，能耗超标</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7ACF9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更换为一级能效空调设备，系统能效满足现行节能标准</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4AA9B24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5 </w:t>
            </w:r>
          </w:p>
        </w:tc>
      </w:tr>
      <w:tr w14:paraId="3B339237">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0B56643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7.2.6</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216318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采取有效措施降低供暖空调系统的末端系统及输配系统的能耗</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AEDCB8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空调管路保温破损，末端风机效率低，能耗浪费</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B572B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修复管路保温，更换高效风机盘管，优化空调输配系统</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0FECE08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2 </w:t>
            </w:r>
          </w:p>
        </w:tc>
      </w:tr>
      <w:tr w14:paraId="3A011569">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22B2D9A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7.2.7</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7A335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采用节能型电气设备及节能控制措施</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A76382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公共区域为老式白炽灯，无节能控制，用电浪费</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F9DA48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更换为LED节能灯具，加装声光控/人体感应开关</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0387BD5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8 </w:t>
            </w:r>
          </w:p>
        </w:tc>
      </w:tr>
      <w:tr w14:paraId="00E7B859">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7C70007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7.2.8</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9D986F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采取措施降低建筑能耗</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117B37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建筑整体能耗偏高，无有效的节能管理措施</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9A4A51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实施外墙保温、门窗更换、设备升级等综合节能改造</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8541BE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6 </w:t>
            </w:r>
          </w:p>
        </w:tc>
      </w:tr>
      <w:tr w14:paraId="2355E30A">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0452164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7.2.9</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2C56C0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结合当地气候和自然资源条件合理利用可再生能源</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924369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未利用太阳能等可再生能源，全部依赖市政供电</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9EDA30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安装太阳能热水器，部分公共区域使用太阳能路灯</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4F51CDE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6 </w:t>
            </w:r>
          </w:p>
        </w:tc>
      </w:tr>
      <w:tr w14:paraId="5377CEA1">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0C2FA53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7.2.10</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6AF100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使用较高用水效率等级的卫生器具</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6AF792B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原有坐便器、水龙头耗水量大，不符合节水标准</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68FFCED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更换为一级节水型坐便器和节水龙头，加装节水起泡器</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65955AD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8 </w:t>
            </w:r>
          </w:p>
        </w:tc>
      </w:tr>
      <w:tr w14:paraId="149D7D5B">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042C12D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7.2.11</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88B440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绿化灌溉及空调冷却水系统采用节水设备或技术</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691614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绿化灌溉采用漫灌方式，水资源浪费严重</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8A406C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绿化灌溉改为滴灌/喷灌，空调冷却水系统加装节水装置</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B5F457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9 </w:t>
            </w:r>
          </w:p>
        </w:tc>
      </w:tr>
      <w:tr w14:paraId="1DD87404">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3326EDB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7.2.12</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2DB48F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结合雨水综合利用设施营造室外景观水体</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731A72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无雨水收集设施，景观用水全部使用自来水</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FDCE37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增设雨水收集池，用于景观水体补水，配套生态水处理设施</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08B58EB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8 </w:t>
            </w:r>
          </w:p>
        </w:tc>
      </w:tr>
      <w:tr w14:paraId="3888E8BC">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6C19B1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7.2.13</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DBABD9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使用非传统水源</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2E3890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无中水、雨水等非传统水源利用系统</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9CDCF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仅设置基础雨水收集设施，暂未大规模使用非传统水源</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317FCA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3 </w:t>
            </w:r>
          </w:p>
        </w:tc>
      </w:tr>
      <w:tr w14:paraId="0BA8854D">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37D9AC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7.2.14</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958629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建筑所有区域实施土建工程与装修工程一体化设计及施工</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2F74B3E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原建筑为毛坯交付，土建与装修分开施工，浪费严重</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651C2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改造阶段采用土建与装修一体化施工，减少材料浪费</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37015B0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8 </w:t>
            </w:r>
          </w:p>
        </w:tc>
      </w:tr>
      <w:tr w14:paraId="23B778C0">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417B7BE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7.2.15</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C8F141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合理选用建筑结构材料与构件</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F660A7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部分结构构件老化，未采用高强度、高耐久材料</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B4F37A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对结构构件进行加固修复，选用高强度、耐久型材料</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15D23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5 </w:t>
            </w:r>
          </w:p>
        </w:tc>
      </w:tr>
      <w:tr w14:paraId="1AEF67CC">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0404B7D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7.2.16</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824AE8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建筑装修选用工业化内装部品</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012DA4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装修全部采用现场施工，未使用工业化内装部品</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E8950E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暂未采用工业化内装部品，以传统装修方式为主</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0B9C29F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0 </w:t>
            </w:r>
          </w:p>
        </w:tc>
      </w:tr>
      <w:tr w14:paraId="6C525F56">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5AABF9C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7.2.17</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BC9C89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选用可循环材料、可再利用材料及利废建材</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8E9A31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改造中未系统使用可循环、再生材料</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65BECEA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暂未大规模使用可循环/利废建材，以常规材料为主</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732456B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0 </w:t>
            </w:r>
          </w:p>
        </w:tc>
      </w:tr>
      <w:tr w14:paraId="55083E29">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286587E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7.2.18</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A1D68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选用绿色建材</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CABC81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改造材料未按绿色建材标准选型</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EDD71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暂未全部选用绿色建材，仅部分材料满足环保要求</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5FC7EE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0 </w:t>
            </w:r>
          </w:p>
        </w:tc>
      </w:tr>
    </w:tbl>
    <w:p w14:paraId="4579BC64">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2024版标准要求每类指标评分项得分不应小于其满分值的30%，即</w:t>
      </w:r>
      <w:r>
        <w:rPr>
          <w:rFonts w:hint="eastAsia" w:ascii="宋体" w:hAnsi="宋体" w:cs="Times New Roman"/>
          <w:spacing w:val="-2"/>
          <w:kern w:val="2"/>
          <w:sz w:val="24"/>
          <w:lang w:val="en-US" w:eastAsia="zh-CN"/>
        </w:rPr>
        <w:t>6</w:t>
      </w:r>
      <w:r>
        <w:rPr>
          <w:rFonts w:hint="eastAsia" w:ascii="宋体" w:hAnsi="宋体" w:eastAsia="宋体" w:cs="Times New Roman"/>
          <w:spacing w:val="-2"/>
          <w:kern w:val="2"/>
          <w:sz w:val="24"/>
          <w:lang w:val="en-US" w:eastAsia="zh-CN"/>
        </w:rPr>
        <w:t>0分。本项目资源节约类得分为</w:t>
      </w:r>
      <w:r>
        <w:rPr>
          <w:rFonts w:hint="eastAsia" w:ascii="宋体" w:hAnsi="宋体" w:cs="Times New Roman"/>
          <w:spacing w:val="-2"/>
          <w:kern w:val="2"/>
          <w:sz w:val="24"/>
          <w:lang w:val="en-US" w:eastAsia="zh-CN"/>
        </w:rPr>
        <w:t>85</w:t>
      </w:r>
      <w:r>
        <w:rPr>
          <w:rFonts w:hint="eastAsia" w:ascii="宋体" w:hAnsi="宋体" w:eastAsia="宋体" w:cs="Times New Roman"/>
          <w:spacing w:val="-2"/>
          <w:kern w:val="2"/>
          <w:sz w:val="24"/>
          <w:lang w:val="en-US" w:eastAsia="zh-CN"/>
        </w:rPr>
        <w:t>分，已达到要求</w:t>
      </w:r>
    </w:p>
    <w:p w14:paraId="6CDC0B9D">
      <w:pPr>
        <w:widowControl w:val="0"/>
        <w:numPr>
          <w:ilvl w:val="0"/>
          <w:numId w:val="2"/>
        </w:numPr>
        <w:tabs>
          <w:tab w:val="left" w:pos="3472"/>
          <w:tab w:val="clear" w:pos="377"/>
        </w:tabs>
        <w:spacing w:line="400" w:lineRule="exact"/>
        <w:ind w:left="0" w:leftChars="0"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环境宜居</w:t>
      </w:r>
    </w:p>
    <w:p w14:paraId="50BB075C">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表4-6  </w:t>
      </w:r>
      <w:r>
        <w:rPr>
          <w:rFonts w:hint="eastAsia" w:ascii="楷体_GB2312" w:hAnsi="宋体" w:eastAsia="楷体_GB2312" w:cs="Times New Roman"/>
          <w:b/>
          <w:bCs/>
          <w:color w:val="000000"/>
          <w:lang w:val="en-US" w:eastAsia="zh-CN"/>
        </w:rPr>
        <w:t>环境宜居模块得分情况</w:t>
      </w:r>
    </w:p>
    <w:tbl>
      <w:tblPr>
        <w:tblStyle w:val="22"/>
        <w:tblW w:w="5000" w:type="pct"/>
        <w:jc w:val="center"/>
        <w:shd w:val="clear" w:color="auto" w:fill="FFFFFF"/>
        <w:tblLayout w:type="fixed"/>
        <w:tblCellMar>
          <w:top w:w="15" w:type="dxa"/>
          <w:left w:w="15" w:type="dxa"/>
          <w:bottom w:w="15" w:type="dxa"/>
          <w:right w:w="15" w:type="dxa"/>
        </w:tblCellMar>
      </w:tblPr>
      <w:tblGrid>
        <w:gridCol w:w="758"/>
        <w:gridCol w:w="1849"/>
        <w:gridCol w:w="2197"/>
        <w:gridCol w:w="3761"/>
        <w:gridCol w:w="416"/>
      </w:tblGrid>
      <w:tr w14:paraId="6FDECA15">
        <w:tblPrEx>
          <w:shd w:val="clear" w:color="auto" w:fill="FFFFFF"/>
          <w:tblCellMar>
            <w:top w:w="15" w:type="dxa"/>
            <w:left w:w="15" w:type="dxa"/>
            <w:bottom w:w="15" w:type="dxa"/>
            <w:right w:w="15" w:type="dxa"/>
          </w:tblCellMar>
        </w:tblPrEx>
        <w:trPr>
          <w:tblHeader/>
          <w:jc w:val="center"/>
        </w:trPr>
        <w:tc>
          <w:tcPr>
            <w:tcW w:w="422" w:type="pct"/>
            <w:tcBorders>
              <w:top w:val="single" w:color="000000" w:sz="4" w:space="0"/>
              <w:left w:val="nil"/>
              <w:bottom w:val="single" w:color="000000" w:sz="4" w:space="0"/>
              <w:right w:val="single" w:color="000000" w:sz="4" w:space="0"/>
              <w:tl2br w:val="nil"/>
            </w:tcBorders>
            <w:shd w:val="clear" w:color="auto" w:fill="FFFFFF"/>
            <w:tcMar>
              <w:top w:w="120" w:type="dxa"/>
              <w:left w:w="0" w:type="dxa"/>
              <w:bottom w:w="120" w:type="dxa"/>
              <w:right w:w="192" w:type="dxa"/>
            </w:tcMar>
            <w:vAlign w:val="center"/>
          </w:tcPr>
          <w:p w14:paraId="0B7D3B96">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条文编号</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1056AE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评价内容</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31FC5A0">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改造前状况</w:t>
            </w:r>
          </w:p>
          <w:p w14:paraId="653F8CA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（旧建筑问题）</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BB8625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default" w:ascii="宋体" w:hAnsi="宋体" w:eastAsia="宋体" w:cs="Courier New"/>
                <w:b w:val="0"/>
                <w:color w:val="000000"/>
                <w:kern w:val="0"/>
                <w:sz w:val="21"/>
                <w:szCs w:val="24"/>
                <w:lang w:val="en-US" w:eastAsia="zh-CN" w:bidi="ar-SA"/>
              </w:rPr>
              <w:t>改造实施方案</w:t>
            </w:r>
          </w:p>
        </w:tc>
        <w:tc>
          <w:tcPr>
            <w:tcW w:w="23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1C3B2BE0">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得分</w:t>
            </w:r>
          </w:p>
        </w:tc>
      </w:tr>
      <w:tr w14:paraId="3E3AC76E">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692A1E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8.2.1</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07194C5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场地生态保护</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9F5130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原施工破坏了原有地貌，地表裸露严重，下雨天水土流失。</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B1D352D">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对裸露边坡进行挂网喷播植草，恢复场地原有微地形和植被群落。</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11205CD">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0</w:t>
            </w:r>
          </w:p>
        </w:tc>
      </w:tr>
      <w:tr w14:paraId="39522624">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46449F7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8.2.2</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66FE0021">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雨水径流控制</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C10F6A0">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场地硬化面积过大，下雨天瞬间产生大量积水，严重内涝。</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F573DE2">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将部分硬化路面改造为透水混凝土路面，增设雨水花园和下凹式绿地滞蓄雨水。</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2BC096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5 </w:t>
            </w:r>
          </w:p>
        </w:tc>
      </w:tr>
      <w:tr w14:paraId="1CEF6305">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7112BC0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8.2.3</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25F7C75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绿化用地优化</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286401A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楼间绿地稀疏，树种单一，缺乏遮阴大树，夏季暴晒严重。</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8E059E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淘汰长势不良的灌木，补种乡土适生的高大乔木，形成复层绿化景观，降低热岛效应。</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2654D1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16 </w:t>
            </w:r>
          </w:p>
        </w:tc>
      </w:tr>
      <w:tr w14:paraId="7B919B93">
        <w:tblPrEx>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0655602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8.2.4</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6E894A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室外吸烟区</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500B80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小区内无专门吸烟点，烟头随处可见，极易引发消防隐患。</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575754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在避风向阳且远离人群聚集处设置带灭烟柱的室外吸烟区，并张贴禁烟警示牌。</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66F787C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9 </w:t>
            </w:r>
          </w:p>
        </w:tc>
      </w:tr>
      <w:tr w14:paraId="025EB3A1">
        <w:tblPrEx>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67F1CF3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8.2.5</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40B7158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绿色雨水设施</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8A69A6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硬质铺装比例过高，雨水无法下渗，直接排入市政管网造成压力。</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6122E85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停车场和人行道大面积采用透水砖铺装，并在绿地中增设雨水蓄水模块。</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3DA307F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8 </w:t>
            </w:r>
          </w:p>
        </w:tc>
      </w:tr>
      <w:tr w14:paraId="667DD672">
        <w:tblPrEx>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227905C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8.2.6</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76089B1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场地噪声控制</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E970F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临近马路的楼栋受交通噪声影响极大。</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63C6EA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加装三玻两腔隔音窗，变压器移至地下室并加装隔音降噪罩。</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A0BBAD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10 </w:t>
            </w:r>
          </w:p>
        </w:tc>
      </w:tr>
      <w:tr w14:paraId="495F12DB">
        <w:tblPrEx>
          <w:shd w:val="clear" w:color="auto" w:fill="FFFFFF"/>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60D5EFE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8.2.7</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5B88822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光污染控制</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6275945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夜间外墙泛光照明直射对面楼住户窗户，影响居民休息。</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BB449E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取消强光洗墙灯，改用防眩光的低位地埋灯，并严格控制夜间亮灯熄灯时间。</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08618A3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5 </w:t>
            </w:r>
          </w:p>
        </w:tc>
      </w:tr>
      <w:tr w14:paraId="6B8503F5">
        <w:tblPrEx>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5FFE38F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8.2.8</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AAEC7C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场地风环境</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37F6778">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人行区域设置合理，室外风环境满足要求</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2B83A731">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不改造</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5F5BCE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7 </w:t>
            </w:r>
          </w:p>
        </w:tc>
      </w:tr>
      <w:tr w14:paraId="05E77AB7">
        <w:tblPrEx>
          <w:tblCellMar>
            <w:top w:w="15" w:type="dxa"/>
            <w:left w:w="15" w:type="dxa"/>
            <w:bottom w:w="15" w:type="dxa"/>
            <w:right w:w="15" w:type="dxa"/>
          </w:tblCellMar>
        </w:tblPrEx>
        <w:trPr>
          <w:jc w:val="center"/>
        </w:trPr>
        <w:tc>
          <w:tcPr>
            <w:tcW w:w="422"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top"/>
          </w:tcPr>
          <w:p w14:paraId="1CDF712E">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8.2.9</w:t>
            </w:r>
          </w:p>
        </w:tc>
        <w:tc>
          <w:tcPr>
            <w:tcW w:w="1029"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AE6B7E9">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场地热环境</w:t>
            </w:r>
          </w:p>
        </w:tc>
        <w:tc>
          <w:tcPr>
            <w:tcW w:w="122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1C30BA07">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室外绿化较少且破损严重</w:t>
            </w:r>
          </w:p>
        </w:tc>
        <w:tc>
          <w:tcPr>
            <w:tcW w:w="209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top"/>
          </w:tcPr>
          <w:p w14:paraId="34893EBC">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补种乔木，在人行道路两侧栽种高大乔木遮阴</w:t>
            </w:r>
          </w:p>
        </w:tc>
        <w:tc>
          <w:tcPr>
            <w:tcW w:w="416" w:type="dxa"/>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4F0074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 xml:space="preserve">2 </w:t>
            </w:r>
          </w:p>
        </w:tc>
      </w:tr>
    </w:tbl>
    <w:p w14:paraId="5CCC8004">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2024版标准要求每类指标评分项得分不应小于其满分值的30%，即30分。本项目环境宜居类得分为</w:t>
      </w:r>
      <w:r>
        <w:rPr>
          <w:rFonts w:hint="eastAsia" w:ascii="宋体" w:hAnsi="宋体" w:cs="Times New Roman"/>
          <w:spacing w:val="-2"/>
          <w:kern w:val="2"/>
          <w:sz w:val="24"/>
          <w:lang w:val="en-US" w:eastAsia="zh-CN"/>
        </w:rPr>
        <w:t>62</w:t>
      </w:r>
      <w:r>
        <w:rPr>
          <w:rFonts w:hint="eastAsia" w:ascii="宋体" w:hAnsi="宋体" w:eastAsia="宋体" w:cs="Times New Roman"/>
          <w:spacing w:val="-2"/>
          <w:kern w:val="2"/>
          <w:sz w:val="24"/>
          <w:lang w:val="en-US" w:eastAsia="zh-CN"/>
        </w:rPr>
        <w:t>分，已达到要求</w:t>
      </w:r>
    </w:p>
    <w:p w14:paraId="395F1E3B">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97" w:name="_Toc3463"/>
      <w:r>
        <w:rPr>
          <w:rFonts w:hint="eastAsia" w:ascii="宋体" w:hAnsi="宋体" w:eastAsia="宋体" w:cs="Arial"/>
          <w:b/>
          <w:bCs/>
          <w:iCs/>
          <w:color w:val="000000"/>
          <w:kern w:val="2"/>
          <w:sz w:val="28"/>
          <w:szCs w:val="24"/>
          <w:lang w:val="en-US" w:eastAsia="zh-CN" w:bidi="ar-SA"/>
        </w:rPr>
        <w:t>得分计算与等级判定</w:t>
      </w:r>
      <w:bookmarkEnd w:id="97"/>
    </w:p>
    <w:p w14:paraId="331F17ED">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98" w:name="_Toc5235"/>
      <w:r>
        <w:rPr>
          <w:rFonts w:hint="eastAsia" w:ascii="宋体" w:hAnsi="宋体" w:cs="Arial"/>
          <w:b/>
          <w:bCs/>
          <w:kern w:val="2"/>
          <w:sz w:val="24"/>
          <w:szCs w:val="21"/>
          <w:lang w:val="en-US" w:eastAsia="zh-CN" w:bidi="ar-SA"/>
        </w:rPr>
        <w:t>得分计算</w:t>
      </w:r>
      <w:bookmarkEnd w:id="98"/>
    </w:p>
    <w:p w14:paraId="7B09DF37">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综合上述对安全耐久、健康舒适、生活便利、资源节约、环境宜居五类评分项及加分项的逐条分析，本项目各分项得分汇总如下表所示。</w:t>
      </w:r>
    </w:p>
    <w:p w14:paraId="55FE2396">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表4-7  </w:t>
      </w:r>
      <w:r>
        <w:rPr>
          <w:rFonts w:hint="eastAsia" w:ascii="楷体_GB2312" w:hAnsi="宋体" w:eastAsia="楷体_GB2312" w:cs="Times New Roman"/>
          <w:b/>
          <w:bCs/>
          <w:color w:val="000000"/>
          <w:lang w:val="en-US" w:eastAsia="zh-CN"/>
        </w:rPr>
        <w:t>汇总得分</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2665"/>
        <w:gridCol w:w="1025"/>
        <w:gridCol w:w="1566"/>
        <w:gridCol w:w="3721"/>
      </w:tblGrid>
      <w:tr w14:paraId="5E190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blHeader/>
        </w:trPr>
        <w:tc>
          <w:tcPr>
            <w:tcW w:w="1484" w:type="pct"/>
            <w:tcBorders>
              <w:top w:val="single" w:color="000000" w:sz="4" w:space="0"/>
              <w:left w:val="nil"/>
              <w:bottom w:val="single" w:color="000000" w:sz="4" w:space="0"/>
              <w:right w:val="single" w:color="000000" w:sz="4" w:space="0"/>
              <w:tl2br w:val="nil"/>
            </w:tcBorders>
            <w:shd w:val="clear" w:color="auto" w:fill="FFFFFF"/>
            <w:tcMar>
              <w:top w:w="120" w:type="dxa"/>
              <w:left w:w="0" w:type="dxa"/>
              <w:bottom w:w="120" w:type="dxa"/>
              <w:right w:w="192" w:type="dxa"/>
            </w:tcMar>
            <w:vAlign w:val="center"/>
          </w:tcPr>
          <w:p w14:paraId="2A3535E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评价指标</w:t>
            </w:r>
          </w:p>
        </w:tc>
        <w:tc>
          <w:tcPr>
            <w:tcW w:w="57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7D24E57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满分</w:t>
            </w:r>
          </w:p>
        </w:tc>
        <w:tc>
          <w:tcPr>
            <w:tcW w:w="872" w:type="pct"/>
            <w:tcBorders>
              <w:top w:val="single" w:color="000000" w:sz="4" w:space="0"/>
              <w:left w:val="nil"/>
              <w:bottom w:val="single" w:color="000000" w:sz="4" w:space="0"/>
              <w:right w:val="single" w:color="000000" w:sz="4" w:space="0"/>
            </w:tcBorders>
            <w:shd w:val="clear" w:color="auto" w:fill="FFFFFF"/>
            <w:tcMar>
              <w:top w:w="120" w:type="dxa"/>
              <w:left w:w="192" w:type="dxa"/>
              <w:bottom w:w="120" w:type="dxa"/>
              <w:right w:w="192" w:type="dxa"/>
            </w:tcMar>
            <w:vAlign w:val="center"/>
          </w:tcPr>
          <w:p w14:paraId="200F4FD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实际得分</w:t>
            </w:r>
          </w:p>
        </w:tc>
        <w:tc>
          <w:tcPr>
            <w:tcW w:w="207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F3F8AB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是否≥满分值30%</w:t>
            </w:r>
          </w:p>
        </w:tc>
      </w:tr>
      <w:tr w14:paraId="48719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484"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09256EF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安全耐久</w:t>
            </w:r>
          </w:p>
        </w:tc>
        <w:tc>
          <w:tcPr>
            <w:tcW w:w="57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5B250A1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872" w:type="pct"/>
            <w:tcBorders>
              <w:top w:val="single" w:color="000000" w:sz="4" w:space="0"/>
              <w:left w:val="nil"/>
              <w:bottom w:val="single" w:color="000000" w:sz="4" w:space="0"/>
              <w:right w:val="single" w:color="000000" w:sz="4" w:space="0"/>
            </w:tcBorders>
            <w:shd w:val="clear" w:color="auto" w:fill="FFFFFF"/>
            <w:tcMar>
              <w:top w:w="120" w:type="dxa"/>
              <w:left w:w="192" w:type="dxa"/>
              <w:bottom w:w="120" w:type="dxa"/>
              <w:right w:w="192" w:type="dxa"/>
            </w:tcMar>
            <w:vAlign w:val="center"/>
          </w:tcPr>
          <w:p w14:paraId="1662945A">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73</w:t>
            </w:r>
          </w:p>
        </w:tc>
        <w:tc>
          <w:tcPr>
            <w:tcW w:w="207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0" w:type="dxa"/>
            </w:tcMar>
            <w:vAlign w:val="center"/>
          </w:tcPr>
          <w:p w14:paraId="75C72B5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满足（≥30）</w:t>
            </w:r>
          </w:p>
        </w:tc>
      </w:tr>
      <w:tr w14:paraId="3BA7B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484"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56DD2C5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健康舒适</w:t>
            </w:r>
          </w:p>
        </w:tc>
        <w:tc>
          <w:tcPr>
            <w:tcW w:w="57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612B294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872" w:type="pct"/>
            <w:tcBorders>
              <w:top w:val="single" w:color="000000" w:sz="4" w:space="0"/>
              <w:left w:val="nil"/>
              <w:bottom w:val="single" w:color="000000" w:sz="4" w:space="0"/>
              <w:right w:val="single" w:color="000000" w:sz="4" w:space="0"/>
            </w:tcBorders>
            <w:shd w:val="clear" w:color="auto" w:fill="FFFFFF"/>
            <w:tcMar>
              <w:top w:w="120" w:type="dxa"/>
              <w:left w:w="192" w:type="dxa"/>
              <w:bottom w:w="120" w:type="dxa"/>
              <w:right w:w="192" w:type="dxa"/>
            </w:tcMar>
            <w:vAlign w:val="center"/>
          </w:tcPr>
          <w:p w14:paraId="77697EF5">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74</w:t>
            </w:r>
          </w:p>
        </w:tc>
        <w:tc>
          <w:tcPr>
            <w:tcW w:w="207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0" w:type="dxa"/>
            </w:tcMar>
            <w:vAlign w:val="center"/>
          </w:tcPr>
          <w:p w14:paraId="5341855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满足（≥30）</w:t>
            </w:r>
          </w:p>
        </w:tc>
      </w:tr>
      <w:tr w14:paraId="4FC74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1484"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6402A7E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生活便利</w:t>
            </w:r>
          </w:p>
        </w:tc>
        <w:tc>
          <w:tcPr>
            <w:tcW w:w="57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41B0E3F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w:t>
            </w:r>
          </w:p>
        </w:tc>
        <w:tc>
          <w:tcPr>
            <w:tcW w:w="872" w:type="pct"/>
            <w:tcBorders>
              <w:top w:val="single" w:color="000000" w:sz="4" w:space="0"/>
              <w:left w:val="nil"/>
              <w:bottom w:val="single" w:color="000000" w:sz="4" w:space="0"/>
              <w:right w:val="single" w:color="000000" w:sz="4" w:space="0"/>
            </w:tcBorders>
            <w:shd w:val="clear" w:color="auto" w:fill="FFFFFF"/>
            <w:tcMar>
              <w:top w:w="120" w:type="dxa"/>
              <w:left w:w="192" w:type="dxa"/>
              <w:bottom w:w="120" w:type="dxa"/>
              <w:right w:w="192" w:type="dxa"/>
            </w:tcMar>
            <w:vAlign w:val="center"/>
          </w:tcPr>
          <w:p w14:paraId="0C90D4AF">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32</w:t>
            </w:r>
          </w:p>
        </w:tc>
        <w:tc>
          <w:tcPr>
            <w:tcW w:w="207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0" w:type="dxa"/>
            </w:tcMar>
            <w:vAlign w:val="center"/>
          </w:tcPr>
          <w:p w14:paraId="117D543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满足（≥21）</w:t>
            </w:r>
          </w:p>
        </w:tc>
      </w:tr>
      <w:tr w14:paraId="59D3E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1484"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5A8F7E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资源节约</w:t>
            </w:r>
          </w:p>
        </w:tc>
        <w:tc>
          <w:tcPr>
            <w:tcW w:w="57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266D27A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200</w:t>
            </w:r>
          </w:p>
        </w:tc>
        <w:tc>
          <w:tcPr>
            <w:tcW w:w="872" w:type="pct"/>
            <w:tcBorders>
              <w:top w:val="single" w:color="000000" w:sz="4" w:space="0"/>
              <w:left w:val="nil"/>
              <w:bottom w:val="single" w:color="000000" w:sz="4" w:space="0"/>
              <w:right w:val="single" w:color="000000" w:sz="4" w:space="0"/>
            </w:tcBorders>
            <w:shd w:val="clear" w:color="auto" w:fill="FFFFFF"/>
            <w:tcMar>
              <w:top w:w="120" w:type="dxa"/>
              <w:left w:w="192" w:type="dxa"/>
              <w:bottom w:w="120" w:type="dxa"/>
              <w:right w:w="192" w:type="dxa"/>
            </w:tcMar>
            <w:vAlign w:val="center"/>
          </w:tcPr>
          <w:p w14:paraId="222493A8">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85</w:t>
            </w:r>
          </w:p>
        </w:tc>
        <w:tc>
          <w:tcPr>
            <w:tcW w:w="207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0" w:type="dxa"/>
            </w:tcMar>
            <w:vAlign w:val="center"/>
          </w:tcPr>
          <w:p w14:paraId="47E3A8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满足（≥60）</w:t>
            </w:r>
          </w:p>
        </w:tc>
      </w:tr>
      <w:tr w14:paraId="15475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484"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36112A1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环境宜居</w:t>
            </w:r>
          </w:p>
        </w:tc>
        <w:tc>
          <w:tcPr>
            <w:tcW w:w="571"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6DAF256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100</w:t>
            </w:r>
          </w:p>
        </w:tc>
        <w:tc>
          <w:tcPr>
            <w:tcW w:w="872" w:type="pct"/>
            <w:tcBorders>
              <w:top w:val="single" w:color="000000" w:sz="4" w:space="0"/>
              <w:left w:val="nil"/>
              <w:bottom w:val="single" w:color="000000" w:sz="4" w:space="0"/>
              <w:right w:val="single" w:color="000000" w:sz="4" w:space="0"/>
            </w:tcBorders>
            <w:shd w:val="clear" w:color="auto" w:fill="FFFFFF"/>
            <w:tcMar>
              <w:top w:w="120" w:type="dxa"/>
              <w:left w:w="192" w:type="dxa"/>
              <w:bottom w:w="120" w:type="dxa"/>
              <w:right w:w="192" w:type="dxa"/>
            </w:tcMar>
            <w:vAlign w:val="center"/>
          </w:tcPr>
          <w:p w14:paraId="69D0B4E7">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w:t>
            </w:r>
          </w:p>
        </w:tc>
        <w:tc>
          <w:tcPr>
            <w:tcW w:w="2071"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0" w:type="dxa"/>
            </w:tcMar>
            <w:vAlign w:val="center"/>
          </w:tcPr>
          <w:p w14:paraId="04D6C40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满足（≥30）</w:t>
            </w:r>
          </w:p>
        </w:tc>
      </w:tr>
      <w:tr w14:paraId="0AE88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1484"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31A9ABA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合计</w:t>
            </w:r>
          </w:p>
        </w:tc>
        <w:tc>
          <w:tcPr>
            <w:tcW w:w="3515" w:type="pct"/>
            <w:gridSpan w:val="3"/>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3F6C6961">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326</w:t>
            </w:r>
          </w:p>
        </w:tc>
      </w:tr>
    </w:tbl>
    <w:p w14:paraId="3CDF5D2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根据《绿色建筑评价标准》GB/T 50378-2019（2024年版）第3.2.5条，绿色建筑评价的总得分应按下式计算：</w:t>
      </w:r>
    </w:p>
    <w:p w14:paraId="01990486">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Q=(Q₀+Q₁+Q₂+Q₃+Q₄+Q5+Qₐ)/10            （公式X）</w:t>
      </w:r>
    </w:p>
    <w:p w14:paraId="58F76A97">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Q₀——控制项基础分值，当满足所有控制项要求时取400分；</w:t>
      </w:r>
    </w:p>
    <w:p w14:paraId="6E8B29E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Q1-Q₅——五类评分项实际得分；</w:t>
      </w:r>
    </w:p>
    <w:p w14:paraId="76E27802">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Qₐ——加分项得分。</w:t>
      </w:r>
    </w:p>
    <w:p w14:paraId="281F6413">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本项目满足全部控制项要求，因此Q₀=400分。将上述评分项得分代入公式计算：</w:t>
      </w:r>
    </w:p>
    <w:p w14:paraId="5F56A12D">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Q=(400+73+74+32+85+62+0)/10=726/10=72.6分</w:t>
      </w:r>
    </w:p>
    <w:p w14:paraId="09C7C5B6">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各分项得分占比分析见表4-8。</w:t>
      </w:r>
    </w:p>
    <w:p w14:paraId="33E1A5DE">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表4-8  </w:t>
      </w:r>
      <w:r>
        <w:rPr>
          <w:rFonts w:hint="eastAsia" w:ascii="楷体_GB2312" w:hAnsi="宋体" w:eastAsia="楷体_GB2312" w:cs="Times New Roman"/>
          <w:b/>
          <w:bCs/>
          <w:color w:val="000000"/>
          <w:lang w:val="en-US" w:eastAsia="zh-CN"/>
        </w:rPr>
        <w:t>各分项得分占比</w:t>
      </w:r>
    </w:p>
    <w:tbl>
      <w:tblPr>
        <w:tblStyle w:val="22"/>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175"/>
        <w:gridCol w:w="1396"/>
        <w:gridCol w:w="1157"/>
        <w:gridCol w:w="5251"/>
      </w:tblGrid>
      <w:tr w14:paraId="45AED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blHeader/>
        </w:trPr>
        <w:tc>
          <w:tcPr>
            <w:tcW w:w="654" w:type="pct"/>
            <w:tcBorders>
              <w:top w:val="single" w:color="000000" w:sz="4" w:space="0"/>
              <w:left w:val="nil"/>
              <w:bottom w:val="single" w:color="000000" w:sz="4" w:space="0"/>
              <w:right w:val="single" w:color="000000" w:sz="4" w:space="0"/>
              <w:tl2br w:val="nil"/>
            </w:tcBorders>
            <w:shd w:val="clear" w:color="auto" w:fill="FFFFFF"/>
            <w:tcMar>
              <w:top w:w="120" w:type="dxa"/>
              <w:left w:w="0" w:type="dxa"/>
              <w:bottom w:w="120" w:type="dxa"/>
              <w:right w:w="192" w:type="dxa"/>
            </w:tcMar>
            <w:vAlign w:val="center"/>
          </w:tcPr>
          <w:p w14:paraId="13D0663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评价指标</w:t>
            </w:r>
          </w:p>
        </w:tc>
        <w:tc>
          <w:tcPr>
            <w:tcW w:w="77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1CA6B7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实际得分</w:t>
            </w:r>
          </w:p>
        </w:tc>
        <w:tc>
          <w:tcPr>
            <w:tcW w:w="6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3570AA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得分率</w:t>
            </w:r>
          </w:p>
        </w:tc>
        <w:tc>
          <w:tcPr>
            <w:tcW w:w="2923"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79C955C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改造贡献度</w:t>
            </w:r>
          </w:p>
        </w:tc>
      </w:tr>
      <w:tr w14:paraId="1318E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654"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45C3FDD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安全耐久</w:t>
            </w:r>
          </w:p>
        </w:tc>
        <w:tc>
          <w:tcPr>
            <w:tcW w:w="77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4EF71B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73</w:t>
            </w:r>
          </w:p>
        </w:tc>
        <w:tc>
          <w:tcPr>
            <w:tcW w:w="6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43FB22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73%</w:t>
            </w:r>
          </w:p>
        </w:tc>
        <w:tc>
          <w:tcPr>
            <w:tcW w:w="2923"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CFB51F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结构加固、门窗更换、防护设施</w:t>
            </w:r>
          </w:p>
        </w:tc>
      </w:tr>
      <w:tr w14:paraId="2066F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54"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6D69587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健康舒适</w:t>
            </w:r>
          </w:p>
        </w:tc>
        <w:tc>
          <w:tcPr>
            <w:tcW w:w="77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B46871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74</w:t>
            </w:r>
          </w:p>
        </w:tc>
        <w:tc>
          <w:tcPr>
            <w:tcW w:w="6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AFB94D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74%</w:t>
            </w:r>
          </w:p>
        </w:tc>
        <w:tc>
          <w:tcPr>
            <w:tcW w:w="2923"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ABBCDC7">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高性能</w:t>
            </w:r>
            <w:r>
              <w:rPr>
                <w:rFonts w:hint="eastAsia" w:ascii="宋体" w:hAnsi="宋体" w:cs="Courier New"/>
                <w:b w:val="0"/>
                <w:color w:val="000000"/>
                <w:kern w:val="0"/>
                <w:sz w:val="21"/>
                <w:szCs w:val="24"/>
                <w:lang w:val="en-US" w:eastAsia="zh-CN" w:bidi="ar-SA"/>
              </w:rPr>
              <w:t>围护结构</w:t>
            </w:r>
          </w:p>
        </w:tc>
      </w:tr>
      <w:tr w14:paraId="07E06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654"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19453A4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生活便利</w:t>
            </w:r>
          </w:p>
        </w:tc>
        <w:tc>
          <w:tcPr>
            <w:tcW w:w="77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5226C3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32</w:t>
            </w:r>
          </w:p>
        </w:tc>
        <w:tc>
          <w:tcPr>
            <w:tcW w:w="6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E3D55D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46%</w:t>
            </w:r>
          </w:p>
        </w:tc>
        <w:tc>
          <w:tcPr>
            <w:tcW w:w="2923"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9070A6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无障碍设施、智慧运维</w:t>
            </w:r>
          </w:p>
        </w:tc>
      </w:tr>
      <w:tr w14:paraId="59DF3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654"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3848634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资源节约</w:t>
            </w:r>
          </w:p>
        </w:tc>
        <w:tc>
          <w:tcPr>
            <w:tcW w:w="77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6CF1A5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85</w:t>
            </w:r>
          </w:p>
        </w:tc>
        <w:tc>
          <w:tcPr>
            <w:tcW w:w="6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6F1886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43%</w:t>
            </w:r>
          </w:p>
        </w:tc>
        <w:tc>
          <w:tcPr>
            <w:tcW w:w="2923"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4946BC9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围护结构升级、高效设备、</w:t>
            </w:r>
            <w:r>
              <w:rPr>
                <w:rFonts w:hint="eastAsia" w:ascii="宋体" w:hAnsi="宋体" w:cs="Courier New"/>
                <w:b w:val="0"/>
                <w:color w:val="000000"/>
                <w:kern w:val="0"/>
                <w:sz w:val="21"/>
                <w:szCs w:val="24"/>
                <w:lang w:val="en-US" w:eastAsia="zh-CN" w:bidi="ar-SA"/>
              </w:rPr>
              <w:t>太阳能热水</w:t>
            </w:r>
            <w:r>
              <w:rPr>
                <w:rFonts w:hint="eastAsia" w:ascii="宋体" w:hAnsi="宋体" w:eastAsia="宋体" w:cs="Courier New"/>
                <w:b w:val="0"/>
                <w:color w:val="000000"/>
                <w:kern w:val="0"/>
                <w:sz w:val="21"/>
                <w:szCs w:val="24"/>
                <w:lang w:val="en-US" w:eastAsia="zh-CN" w:bidi="ar-SA"/>
              </w:rPr>
              <w:t>系统</w:t>
            </w:r>
          </w:p>
        </w:tc>
      </w:tr>
      <w:tr w14:paraId="34513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c>
          <w:tcPr>
            <w:tcW w:w="654"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5D161FF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环境宜居</w:t>
            </w:r>
          </w:p>
        </w:tc>
        <w:tc>
          <w:tcPr>
            <w:tcW w:w="777"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5C7771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w:t>
            </w:r>
          </w:p>
        </w:tc>
        <w:tc>
          <w:tcPr>
            <w:tcW w:w="644"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C92A26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w:t>
            </w:r>
          </w:p>
        </w:tc>
        <w:tc>
          <w:tcPr>
            <w:tcW w:w="2923"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49AC2CF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海绵措施、复层绿化、热岛控制</w:t>
            </w:r>
          </w:p>
        </w:tc>
      </w:tr>
    </w:tbl>
    <w:p w14:paraId="1B3D96FB">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从各分项得分来看，资源节约类得分最高，为85分，得分率达到43%。这主要得益于围护结构升级，为节能降耗打下了基础。同时，项目采用了高效设备更换、</w:t>
      </w:r>
      <w:r>
        <w:rPr>
          <w:rFonts w:hint="eastAsia" w:ascii="宋体" w:hAnsi="宋体" w:cs="Times New Roman"/>
          <w:spacing w:val="-2"/>
          <w:kern w:val="2"/>
          <w:sz w:val="24"/>
          <w:lang w:val="en-US" w:eastAsia="zh-CN"/>
        </w:rPr>
        <w:t>太阳能热水</w:t>
      </w:r>
      <w:r>
        <w:rPr>
          <w:rFonts w:hint="eastAsia" w:ascii="宋体" w:hAnsi="宋体" w:eastAsia="宋体" w:cs="Times New Roman"/>
          <w:spacing w:val="-2"/>
          <w:kern w:val="2"/>
          <w:sz w:val="24"/>
          <w:lang w:val="en-US" w:eastAsia="zh-CN"/>
        </w:rPr>
        <w:t>系统应用等措施，充分体现了本次节能改造的核心成果。</w:t>
      </w:r>
    </w:p>
    <w:p w14:paraId="1506B0E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健康舒适类得分次之，为74分，得分率74%。通过更换高性能外窗、部署室内环境监测系统等措施，项目的室内声环境、空气品质和热舒适度均得到了显著改善。</w:t>
      </w:r>
    </w:p>
    <w:p w14:paraId="62DF94CF">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安全耐久类得分为73分，得分率73%。项目通过实施结构加固、门窗更换、防护设施增设等措施，成功达到了该类指标的达标要求，提升了建筑整体的安全与耐久性能。</w:t>
      </w:r>
    </w:p>
    <w:p w14:paraId="3A18C537">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生活便利类得分为32分，得分率46%。本改造方案配合无障碍设施建设与智慧运维系统，解决了旧建筑生活便利性不足的核心痛点，显著提升了建筑的无障碍与智能化水平。</w:t>
      </w:r>
    </w:p>
    <w:p w14:paraId="430CA473">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环境宜居类得分为62分，得分率62%。项目通过海绵措施、复层绿化、热岛控制等改造手段，有效改善了场地生态环境，提升了整体宜居性。</w:t>
      </w:r>
    </w:p>
    <w:p w14:paraId="03AF432E">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99" w:name="_Toc12982"/>
      <w:r>
        <w:rPr>
          <w:rFonts w:hint="eastAsia" w:ascii="宋体" w:hAnsi="宋体" w:cs="Arial"/>
          <w:b/>
          <w:bCs/>
          <w:kern w:val="2"/>
          <w:sz w:val="24"/>
          <w:szCs w:val="21"/>
          <w:lang w:val="en-US" w:eastAsia="zh-CN" w:bidi="ar-SA"/>
        </w:rPr>
        <w:t>等级判定</w:t>
      </w:r>
      <w:bookmarkEnd w:id="99"/>
    </w:p>
    <w:p w14:paraId="4FE211C0">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根据</w:t>
      </w:r>
      <w:r>
        <w:rPr>
          <w:rFonts w:hint="eastAsia" w:ascii="宋体" w:hAnsi="宋体" w:cs="Times New Roman"/>
          <w:spacing w:val="-2"/>
          <w:kern w:val="2"/>
          <w:sz w:val="24"/>
          <w:lang w:val="en-US" w:eastAsia="zh-CN"/>
        </w:rPr>
        <w:t>《绿色建筑评价标准》GB/T 50378-2019（2024年版）</w:t>
      </w:r>
      <w:r>
        <w:rPr>
          <w:rFonts w:hint="eastAsia" w:ascii="宋体" w:hAnsi="宋体" w:eastAsia="宋体" w:cs="Times New Roman"/>
          <w:spacing w:val="-2"/>
          <w:kern w:val="2"/>
          <w:sz w:val="24"/>
          <w:lang w:val="en-US" w:eastAsia="zh-CN"/>
        </w:rPr>
        <w:t>第3.2.8条，绿色建筑星级等级的确定应同时满足以下条件：</w:t>
      </w:r>
    </w:p>
    <w:p w14:paraId="473050DA">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（1）满足全部控制项要求。本项目已满足该条件。</w:t>
      </w:r>
    </w:p>
    <w:p w14:paraId="2E1ABD79">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（2）每类指标的评分项得分不应小于其评分项满分值的30%，即每类指标得分不低于30分。本项目安全耐久类得分为</w:t>
      </w:r>
      <w:r>
        <w:rPr>
          <w:rFonts w:hint="eastAsia" w:ascii="宋体" w:hAnsi="宋体" w:cs="Times New Roman"/>
          <w:spacing w:val="-2"/>
          <w:kern w:val="2"/>
          <w:sz w:val="24"/>
          <w:lang w:val="en-US" w:eastAsia="zh-CN"/>
        </w:rPr>
        <w:t>73</w:t>
      </w:r>
      <w:r>
        <w:rPr>
          <w:rFonts w:hint="eastAsia" w:ascii="宋体" w:hAnsi="宋体" w:eastAsia="宋体" w:cs="Times New Roman"/>
          <w:spacing w:val="-2"/>
          <w:kern w:val="2"/>
          <w:sz w:val="24"/>
          <w:lang w:val="en-US" w:eastAsia="zh-CN"/>
        </w:rPr>
        <w:t>分，健康舒适类得分为</w:t>
      </w:r>
      <w:r>
        <w:rPr>
          <w:rFonts w:hint="eastAsia" w:ascii="宋体" w:hAnsi="宋体" w:cs="Times New Roman"/>
          <w:spacing w:val="-2"/>
          <w:kern w:val="2"/>
          <w:sz w:val="24"/>
          <w:lang w:val="en-US" w:eastAsia="zh-CN"/>
        </w:rPr>
        <w:t>74</w:t>
      </w:r>
      <w:r>
        <w:rPr>
          <w:rFonts w:hint="eastAsia" w:ascii="宋体" w:hAnsi="宋体" w:eastAsia="宋体" w:cs="Times New Roman"/>
          <w:spacing w:val="-2"/>
          <w:kern w:val="2"/>
          <w:sz w:val="24"/>
          <w:lang w:val="en-US" w:eastAsia="zh-CN"/>
        </w:rPr>
        <w:t>分，生活便利类得分为</w:t>
      </w:r>
      <w:r>
        <w:rPr>
          <w:rFonts w:hint="eastAsia" w:ascii="宋体" w:hAnsi="宋体" w:cs="Times New Roman"/>
          <w:spacing w:val="-2"/>
          <w:kern w:val="2"/>
          <w:sz w:val="24"/>
          <w:lang w:val="en-US" w:eastAsia="zh-CN"/>
        </w:rPr>
        <w:t>32</w:t>
      </w:r>
      <w:r>
        <w:rPr>
          <w:rFonts w:hint="eastAsia" w:ascii="宋体" w:hAnsi="宋体" w:eastAsia="宋体" w:cs="Times New Roman"/>
          <w:spacing w:val="-2"/>
          <w:kern w:val="2"/>
          <w:sz w:val="24"/>
          <w:lang w:val="en-US" w:eastAsia="zh-CN"/>
        </w:rPr>
        <w:t>分，资源节约类得分为</w:t>
      </w:r>
      <w:r>
        <w:rPr>
          <w:rFonts w:hint="eastAsia" w:ascii="宋体" w:hAnsi="宋体" w:cs="Times New Roman"/>
          <w:spacing w:val="-2"/>
          <w:kern w:val="2"/>
          <w:sz w:val="24"/>
          <w:lang w:val="en-US" w:eastAsia="zh-CN"/>
        </w:rPr>
        <w:t>85</w:t>
      </w:r>
      <w:r>
        <w:rPr>
          <w:rFonts w:hint="eastAsia" w:ascii="宋体" w:hAnsi="宋体" w:eastAsia="宋体" w:cs="Times New Roman"/>
          <w:spacing w:val="-2"/>
          <w:kern w:val="2"/>
          <w:sz w:val="24"/>
          <w:lang w:val="en-US" w:eastAsia="zh-CN"/>
        </w:rPr>
        <w:t>分，环境宜居类得分为</w:t>
      </w:r>
      <w:r>
        <w:rPr>
          <w:rFonts w:hint="eastAsia" w:ascii="宋体" w:hAnsi="宋体" w:cs="Times New Roman"/>
          <w:spacing w:val="-2"/>
          <w:kern w:val="2"/>
          <w:sz w:val="24"/>
          <w:lang w:val="en-US" w:eastAsia="zh-CN"/>
        </w:rPr>
        <w:t>62</w:t>
      </w:r>
      <w:r>
        <w:rPr>
          <w:rFonts w:hint="eastAsia" w:ascii="宋体" w:hAnsi="宋体" w:eastAsia="宋体" w:cs="Times New Roman"/>
          <w:spacing w:val="-2"/>
          <w:kern w:val="2"/>
          <w:sz w:val="24"/>
          <w:lang w:val="en-US" w:eastAsia="zh-CN"/>
        </w:rPr>
        <w:t>分，五类指标得分均高于30分，满足要求。</w:t>
      </w:r>
    </w:p>
    <w:p w14:paraId="0577FD7F">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（3）进行全装修。本项目为既有建筑改造项目，按改造后标准执行全装修，满足要求。</w:t>
      </w:r>
    </w:p>
    <w:p w14:paraId="5EE34101">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（4）围护结构热工性能提高比例。二星级绿色建筑要求该比例不低于5%。本项目围护结构热工性能提高比例为12%，满足要求。</w:t>
      </w:r>
    </w:p>
    <w:p w14:paraId="723690FD">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（5）节水器具水效等级。二星级绿色建筑要求水效等级不低于2级。本项目更换的节水洁具水效等级为2级，满足要求。</w:t>
      </w:r>
    </w:p>
    <w:p w14:paraId="64CEC234">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（6）总得分要求。一星级、二星级、三星级对应的总得分分别为不低于60分、70分、85分。本项目总得分为7</w:t>
      </w:r>
      <w:r>
        <w:rPr>
          <w:rFonts w:hint="eastAsia" w:ascii="宋体" w:hAnsi="宋体" w:cs="Times New Roman"/>
          <w:spacing w:val="-2"/>
          <w:kern w:val="2"/>
          <w:sz w:val="24"/>
          <w:lang w:val="en-US" w:eastAsia="zh-CN"/>
        </w:rPr>
        <w:t>2.3</w:t>
      </w:r>
      <w:r>
        <w:rPr>
          <w:rFonts w:hint="eastAsia" w:ascii="宋体" w:hAnsi="宋体" w:eastAsia="宋体" w:cs="Times New Roman"/>
          <w:spacing w:val="-2"/>
          <w:kern w:val="2"/>
          <w:sz w:val="24"/>
          <w:lang w:val="en-US" w:eastAsia="zh-CN"/>
        </w:rPr>
        <w:t>分，达到二星级不低于70分的要求。</w:t>
      </w:r>
    </w:p>
    <w:p w14:paraId="2901B8A2">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本项目各项条件满足情况汇总见表4-</w:t>
      </w:r>
      <w:r>
        <w:rPr>
          <w:rFonts w:hint="eastAsia" w:ascii="宋体" w:hAnsi="宋体" w:cs="Times New Roman"/>
          <w:spacing w:val="-2"/>
          <w:kern w:val="2"/>
          <w:sz w:val="24"/>
          <w:lang w:val="en-US" w:eastAsia="zh-CN"/>
        </w:rPr>
        <w:t>9</w:t>
      </w:r>
      <w:r>
        <w:rPr>
          <w:rFonts w:hint="eastAsia" w:ascii="宋体" w:hAnsi="宋体" w:eastAsia="宋体" w:cs="Times New Roman"/>
          <w:spacing w:val="-2"/>
          <w:kern w:val="2"/>
          <w:sz w:val="24"/>
          <w:lang w:val="en-US" w:eastAsia="zh-CN"/>
        </w:rPr>
        <w:t>：</w:t>
      </w:r>
    </w:p>
    <w:p w14:paraId="3150DCB5">
      <w:pPr>
        <w:widowControl/>
        <w:adjustRightInd w:val="0"/>
        <w:snapToGrid w:val="0"/>
        <w:spacing w:line="420" w:lineRule="atLeast"/>
        <w:jc w:val="center"/>
        <w:rPr>
          <w:rFonts w:hint="eastAsia" w:ascii="宋体" w:hAnsi="宋体" w:eastAsia="宋体" w:cs="Times New Roman"/>
          <w:spacing w:val="-2"/>
          <w:kern w:val="2"/>
          <w:sz w:val="24"/>
          <w:lang w:val="en-US" w:eastAsia="zh-CN"/>
        </w:rPr>
      </w:pPr>
      <w:r>
        <w:rPr>
          <w:rFonts w:hint="eastAsia" w:ascii="楷体_GB2312" w:hAnsi="宋体" w:eastAsia="楷体_GB2312" w:cs="Courier New"/>
          <w:b/>
          <w:bCs/>
          <w:color w:val="000000"/>
          <w:kern w:val="0"/>
          <w:sz w:val="24"/>
          <w:szCs w:val="24"/>
          <w:lang w:val="en-US" w:eastAsia="zh-CN" w:bidi="ar-SA"/>
        </w:rPr>
        <w:t xml:space="preserve">表4-9  </w:t>
      </w:r>
      <w:r>
        <w:rPr>
          <w:rFonts w:hint="eastAsia" w:ascii="楷体_GB2312" w:hAnsi="宋体" w:eastAsia="楷体_GB2312" w:cs="Times New Roman"/>
          <w:b/>
          <w:bCs/>
          <w:color w:val="000000"/>
          <w:lang w:val="en-US" w:eastAsia="zh-CN"/>
        </w:rPr>
        <w:t>各项条件满足情况汇总表</w:t>
      </w:r>
    </w:p>
    <w:tbl>
      <w:tblPr>
        <w:tblStyle w:val="2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722"/>
        <w:gridCol w:w="2484"/>
        <w:gridCol w:w="2039"/>
        <w:gridCol w:w="1732"/>
      </w:tblGrid>
      <w:tr w14:paraId="2BFF0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1515" w:type="pct"/>
            <w:tcBorders>
              <w:top w:val="single" w:color="000000" w:sz="4" w:space="0"/>
              <w:left w:val="nil"/>
              <w:bottom w:val="single" w:color="000000" w:sz="4" w:space="0"/>
              <w:right w:val="single" w:color="000000" w:sz="4" w:space="0"/>
              <w:tl2br w:val="nil"/>
            </w:tcBorders>
            <w:shd w:val="clear" w:color="auto" w:fill="FFFFFF"/>
            <w:tcMar>
              <w:top w:w="120" w:type="dxa"/>
              <w:left w:w="0" w:type="dxa"/>
              <w:bottom w:w="120" w:type="dxa"/>
              <w:right w:w="192" w:type="dxa"/>
            </w:tcMar>
            <w:vAlign w:val="center"/>
          </w:tcPr>
          <w:p w14:paraId="6D3B6CA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判定条件</w:t>
            </w:r>
          </w:p>
        </w:tc>
        <w:tc>
          <w:tcPr>
            <w:tcW w:w="138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E2480E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要求</w:t>
            </w:r>
          </w:p>
        </w:tc>
        <w:tc>
          <w:tcPr>
            <w:tcW w:w="113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7D779B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本项目情况</w:t>
            </w:r>
          </w:p>
        </w:tc>
        <w:tc>
          <w:tcPr>
            <w:tcW w:w="964"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192" w:type="dxa"/>
            </w:tcMar>
            <w:vAlign w:val="center"/>
          </w:tcPr>
          <w:p w14:paraId="2B94B590">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是否满足</w:t>
            </w:r>
          </w:p>
        </w:tc>
      </w:tr>
      <w:tr w14:paraId="7D719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515"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4AB646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控制项</w:t>
            </w:r>
          </w:p>
        </w:tc>
        <w:tc>
          <w:tcPr>
            <w:tcW w:w="138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1F4251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全部满足</w:t>
            </w:r>
          </w:p>
        </w:tc>
        <w:tc>
          <w:tcPr>
            <w:tcW w:w="113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B839CD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全部满足</w:t>
            </w:r>
          </w:p>
        </w:tc>
        <w:tc>
          <w:tcPr>
            <w:tcW w:w="964"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002F22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14772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515"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5E904FD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每类指标≥30分</w:t>
            </w:r>
          </w:p>
        </w:tc>
        <w:tc>
          <w:tcPr>
            <w:tcW w:w="138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FDCC44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安全耐久≥30</w:t>
            </w:r>
          </w:p>
        </w:tc>
        <w:tc>
          <w:tcPr>
            <w:tcW w:w="113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1690B3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73</w:t>
            </w:r>
          </w:p>
        </w:tc>
        <w:tc>
          <w:tcPr>
            <w:tcW w:w="964"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53852AD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2A2F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515"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39AC109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每类指标≥30分</w:t>
            </w:r>
          </w:p>
        </w:tc>
        <w:tc>
          <w:tcPr>
            <w:tcW w:w="138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1CFFB2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健康舒适≥30</w:t>
            </w:r>
          </w:p>
        </w:tc>
        <w:tc>
          <w:tcPr>
            <w:tcW w:w="113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8F000A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74</w:t>
            </w:r>
          </w:p>
        </w:tc>
        <w:tc>
          <w:tcPr>
            <w:tcW w:w="964"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394F96A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271A5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515"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11B20397">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每类指标≥21分</w:t>
            </w:r>
          </w:p>
        </w:tc>
        <w:tc>
          <w:tcPr>
            <w:tcW w:w="138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5811B1CA">
            <w:pPr>
              <w:widowControl/>
              <w:adjustRightInd w:val="0"/>
              <w:snapToGrid w:val="0"/>
              <w:spacing w:line="240" w:lineRule="atLeast"/>
              <w:jc w:val="center"/>
              <w:rPr>
                <w:rFonts w:hint="default"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生活便利≥21</w:t>
            </w:r>
          </w:p>
        </w:tc>
        <w:tc>
          <w:tcPr>
            <w:tcW w:w="113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7E96F6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32</w:t>
            </w:r>
          </w:p>
        </w:tc>
        <w:tc>
          <w:tcPr>
            <w:tcW w:w="964"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6897EA39">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19939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515"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3B20591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每类指标≥60分</w:t>
            </w:r>
          </w:p>
        </w:tc>
        <w:tc>
          <w:tcPr>
            <w:tcW w:w="138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738730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资源节约≥60</w:t>
            </w:r>
          </w:p>
        </w:tc>
        <w:tc>
          <w:tcPr>
            <w:tcW w:w="113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0BF0527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85</w:t>
            </w:r>
          </w:p>
        </w:tc>
        <w:tc>
          <w:tcPr>
            <w:tcW w:w="964"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5B0CE992">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9C67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515"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06BCF53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每类指标≥30分</w:t>
            </w:r>
          </w:p>
        </w:tc>
        <w:tc>
          <w:tcPr>
            <w:tcW w:w="138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DEAB94E">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环境宜居≥30</w:t>
            </w:r>
          </w:p>
        </w:tc>
        <w:tc>
          <w:tcPr>
            <w:tcW w:w="113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A29695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62</w:t>
            </w:r>
          </w:p>
        </w:tc>
        <w:tc>
          <w:tcPr>
            <w:tcW w:w="964"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750B9F1A">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740A2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515"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2CB74BC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全装修</w:t>
            </w:r>
          </w:p>
        </w:tc>
        <w:tc>
          <w:tcPr>
            <w:tcW w:w="138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1252FFD">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进行全装修</w:t>
            </w:r>
          </w:p>
        </w:tc>
        <w:tc>
          <w:tcPr>
            <w:tcW w:w="113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7979113B">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按标准执行</w:t>
            </w:r>
          </w:p>
        </w:tc>
        <w:tc>
          <w:tcPr>
            <w:tcW w:w="964"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1AFADAD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6641E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515"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651EC61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围护结构提高比例</w:t>
            </w:r>
          </w:p>
        </w:tc>
        <w:tc>
          <w:tcPr>
            <w:tcW w:w="138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D20BCF5">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≥5%</w:t>
            </w:r>
          </w:p>
        </w:tc>
        <w:tc>
          <w:tcPr>
            <w:tcW w:w="113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3AAD1B6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12%</w:t>
            </w:r>
          </w:p>
        </w:tc>
        <w:tc>
          <w:tcPr>
            <w:tcW w:w="964"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6DE85BB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09D61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515"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02958773">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节水器具水效等级</w:t>
            </w:r>
          </w:p>
        </w:tc>
        <w:tc>
          <w:tcPr>
            <w:tcW w:w="138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13F676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≥2级</w:t>
            </w:r>
          </w:p>
        </w:tc>
        <w:tc>
          <w:tcPr>
            <w:tcW w:w="113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6477188F">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2级</w:t>
            </w:r>
          </w:p>
        </w:tc>
        <w:tc>
          <w:tcPr>
            <w:tcW w:w="964"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33622784">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r w14:paraId="6ECEF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1515" w:type="pct"/>
            <w:tcBorders>
              <w:top w:val="single" w:color="000000" w:sz="4" w:space="0"/>
              <w:left w:val="nil"/>
              <w:bottom w:val="single" w:color="000000" w:sz="4" w:space="0"/>
              <w:right w:val="single" w:color="000000" w:sz="4" w:space="0"/>
            </w:tcBorders>
            <w:shd w:val="clear" w:color="auto" w:fill="FFFFFF"/>
            <w:tcMar>
              <w:top w:w="120" w:type="dxa"/>
              <w:left w:w="0" w:type="dxa"/>
              <w:bottom w:w="120" w:type="dxa"/>
              <w:right w:w="192" w:type="dxa"/>
            </w:tcMar>
            <w:vAlign w:val="center"/>
          </w:tcPr>
          <w:p w14:paraId="74E41AC8">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总得分</w:t>
            </w:r>
          </w:p>
        </w:tc>
        <w:tc>
          <w:tcPr>
            <w:tcW w:w="1383"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1802DE36">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≥70分</w:t>
            </w:r>
          </w:p>
        </w:tc>
        <w:tc>
          <w:tcPr>
            <w:tcW w:w="1135" w:type="pct"/>
            <w:tcBorders>
              <w:top w:val="single" w:color="000000" w:sz="4" w:space="0"/>
              <w:left w:val="single" w:color="000000" w:sz="4" w:space="0"/>
              <w:bottom w:val="single" w:color="000000" w:sz="4" w:space="0"/>
              <w:right w:val="single" w:color="000000" w:sz="4" w:space="0"/>
            </w:tcBorders>
            <w:shd w:val="clear" w:color="auto" w:fill="FFFFFF"/>
            <w:tcMar>
              <w:top w:w="120" w:type="dxa"/>
              <w:left w:w="192" w:type="dxa"/>
              <w:bottom w:w="120" w:type="dxa"/>
              <w:right w:w="192" w:type="dxa"/>
            </w:tcMar>
            <w:vAlign w:val="center"/>
          </w:tcPr>
          <w:p w14:paraId="4F2B55BC">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72.3分</w:t>
            </w:r>
          </w:p>
        </w:tc>
        <w:tc>
          <w:tcPr>
            <w:tcW w:w="964" w:type="pct"/>
            <w:tcBorders>
              <w:top w:val="single" w:color="000000" w:sz="4" w:space="0"/>
              <w:left w:val="single" w:color="000000" w:sz="4" w:space="0"/>
              <w:bottom w:val="single" w:color="000000" w:sz="4" w:space="0"/>
              <w:right w:val="nil"/>
            </w:tcBorders>
            <w:shd w:val="clear" w:color="auto" w:fill="FFFFFF"/>
            <w:tcMar>
              <w:top w:w="120" w:type="dxa"/>
              <w:left w:w="192" w:type="dxa"/>
              <w:bottom w:w="120" w:type="dxa"/>
              <w:right w:w="0" w:type="dxa"/>
            </w:tcMar>
            <w:vAlign w:val="center"/>
          </w:tcPr>
          <w:p w14:paraId="28BDD101">
            <w:pPr>
              <w:widowControl/>
              <w:adjustRightInd w:val="0"/>
              <w:snapToGrid w:val="0"/>
              <w:spacing w:line="240" w:lineRule="atLeast"/>
              <w:jc w:val="center"/>
              <w:rPr>
                <w:rFonts w:hint="eastAsia" w:ascii="宋体" w:hAnsi="宋体" w:eastAsia="宋体" w:cs="Courier New"/>
                <w:b w:val="0"/>
                <w:color w:val="000000"/>
                <w:kern w:val="0"/>
                <w:sz w:val="21"/>
                <w:szCs w:val="24"/>
                <w:lang w:val="en-US" w:eastAsia="zh-CN" w:bidi="ar-SA"/>
              </w:rPr>
            </w:pPr>
            <w:r>
              <w:rPr>
                <w:rFonts w:hint="eastAsia" w:ascii="宋体" w:hAnsi="宋体" w:eastAsia="宋体" w:cs="Courier New"/>
                <w:b w:val="0"/>
                <w:color w:val="000000"/>
                <w:kern w:val="0"/>
                <w:sz w:val="21"/>
                <w:szCs w:val="24"/>
                <w:lang w:val="en-US" w:eastAsia="zh-CN" w:bidi="ar-SA"/>
              </w:rPr>
              <w:t>满足</w:t>
            </w:r>
          </w:p>
        </w:tc>
      </w:tr>
    </w:tbl>
    <w:p w14:paraId="56E381D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综上所述，本项目满足二星级绿色建筑的全部判定条件。</w:t>
      </w:r>
    </w:p>
    <w:p w14:paraId="6152ED1E">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br w:type="page"/>
      </w:r>
    </w:p>
    <w:p w14:paraId="5F59FE16">
      <w:pPr>
        <w:keepNext/>
        <w:keepLines/>
        <w:pageBreakBefore w:val="0"/>
        <w:widowControl w:val="0"/>
        <w:numPr>
          <w:ilvl w:val="0"/>
          <w:numId w:val="1"/>
        </w:numPr>
        <w:kinsoku/>
        <w:wordWrap/>
        <w:overflowPunct/>
        <w:topLinePunct w:val="0"/>
        <w:autoSpaceDE/>
        <w:autoSpaceDN/>
        <w:bidi w:val="0"/>
        <w:adjustRightInd/>
        <w:snapToGrid/>
        <w:spacing w:before="0" w:after="0" w:line="400" w:lineRule="exact"/>
        <w:ind w:left="0" w:leftChars="0" w:firstLine="602" w:firstLineChars="200"/>
        <w:jc w:val="left"/>
        <w:textAlignment w:val="auto"/>
        <w:outlineLvl w:val="0"/>
        <w:rPr>
          <w:rFonts w:hint="eastAsia" w:ascii="宋体" w:hAnsi="宋体" w:eastAsia="宋体" w:cs="Times New Roman"/>
          <w:b/>
          <w:kern w:val="44"/>
          <w:sz w:val="30"/>
          <w:szCs w:val="30"/>
          <w:lang w:val="en-US" w:eastAsia="zh-CN" w:bidi="ar-SA"/>
        </w:rPr>
      </w:pPr>
      <w:bookmarkStart w:id="100" w:name="_Toc2185"/>
      <w:r>
        <w:rPr>
          <w:rFonts w:hint="eastAsia" w:ascii="宋体" w:hAnsi="宋体" w:eastAsia="宋体" w:cs="Times New Roman"/>
          <w:b/>
          <w:kern w:val="44"/>
          <w:sz w:val="30"/>
          <w:szCs w:val="30"/>
          <w:lang w:val="en-US" w:eastAsia="zh-CN" w:bidi="ar-SA"/>
        </w:rPr>
        <w:t>实施要点与运行建议</w:t>
      </w:r>
      <w:bookmarkEnd w:id="100"/>
    </w:p>
    <w:p w14:paraId="5434D190">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101" w:name="_Toc22573"/>
      <w:r>
        <w:rPr>
          <w:rFonts w:hint="eastAsia" w:ascii="宋体" w:hAnsi="宋体" w:eastAsia="宋体" w:cs="Arial"/>
          <w:b/>
          <w:bCs/>
          <w:iCs/>
          <w:color w:val="000000"/>
          <w:kern w:val="2"/>
          <w:sz w:val="28"/>
          <w:szCs w:val="24"/>
          <w:lang w:val="en-US" w:eastAsia="zh-CN" w:bidi="ar-SA"/>
        </w:rPr>
        <w:t>改造施工要点</w:t>
      </w:r>
      <w:bookmarkEnd w:id="101"/>
    </w:p>
    <w:p w14:paraId="05FCB688">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102" w:name="_Toc3356"/>
      <w:r>
        <w:rPr>
          <w:rFonts w:hint="eastAsia" w:ascii="宋体" w:hAnsi="宋体" w:cs="Arial"/>
          <w:b/>
          <w:bCs/>
          <w:kern w:val="2"/>
          <w:sz w:val="24"/>
          <w:szCs w:val="21"/>
          <w:lang w:val="en-US" w:eastAsia="zh-CN" w:bidi="ar-SA"/>
        </w:rPr>
        <w:t>围护结构施工要点</w:t>
      </w:r>
      <w:bookmarkEnd w:id="102"/>
    </w:p>
    <w:p w14:paraId="217B3482">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次围护结构改造遵循“原有主体构造保留、局部优化提升、杜绝立面改动”的施工原则，针对外墙、屋面、外窗、架空外挑楼板四大分项实施精细化改造。其中外墙、屋面维持原有构造体系与外立面造型不变，仅优化构造可靠性与热工稳定性；外窗实施高性能整体更换；架空外挑楼板新增专项保温构造。全过程严控基层处理、材料工艺、节点密封及热桥治理，确保所有热工指标满足安徽省《公共建筑节能设计标准》DB34/T5076-2023规范限值要求，兼顾建筑美观、结构安全与节能耐久性能。</w:t>
      </w:r>
    </w:p>
    <w:p w14:paraId="35821C3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（1）外墙改造施工要点</w:t>
      </w:r>
    </w:p>
    <w:p w14:paraId="75EE2673">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工程外墙整体构造体系完全保留，不改动建筑外立面造型、结构受力体系及填充墙、热桥梁、热桥柱原有材料层次。施工以优化构造可靠性、稳定热工性能为核心，维持外墙内侧蒸压加气混凝土砌块、水泥砂浆找平层，中部40mm岩棉板保温层、防水层、抗裂砂浆防护层及外侧涂料饰面的完整构造。施工过程中重点排查原有保温层空鼓、开裂、密封失效等缺陷，对局部破损、老化部位进行修补加固，保证整体保温系统连续完整、粘结牢固。严格控制热桥部位构造完整性，确保热桥梁、热桥柱、填充墙各部位热工参数稳定达标。改造后保证外墙填充墙传热系数0.501W/(㎡·K)、热桥梁0.856W/(㎡·K)、热桥柱0.746W/(㎡·K)，外墙综合传热系数稳定维持0.61W/(㎡·K)，优于规范K≤0.65W/(㎡·K)限值，热惰性指标稳定保持4.57，保障外墙长期保温隔热、抗温度波动性能稳定。</w:t>
      </w:r>
    </w:p>
    <w:p w14:paraId="677ABC76">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（2）屋面改造施工要点</w:t>
      </w:r>
    </w:p>
    <w:p w14:paraId="55F753F3">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屋面改造采用“原状保留、检修提质”的施工方式，完全维持原有上人保温屋面构造层次、排水坡度、防水体系及面层做法，不增减、不更换任何构造层级。施工前对屋面细石混凝土保护层、水泥砂浆找平层、自粘无胎高聚物改性沥青防水卷材、LC5.0轻集料混凝土找坡层、100mm硬泡聚氨酯复合板保温层进行全面排查检修，对局部裂缝、起砂、防水层老化、细部渗水隐患进行针对性修复处理。保温层材料厚度、铺设方式完全沿用原有工艺，确保屋面保温、找坡、防水系统完整连续。施工完成后核验屋面热工及物理参数，确保传热系数稳定维持0.269W/(㎡·K)、热惰性指标4.072、面密度495.40kg/㎡，满足规范K≤0.30W/(㎡·K)的严苛要求，保障屋面保温隔热、防水耐久性能长期稳定。</w:t>
      </w:r>
    </w:p>
    <w:p w14:paraId="60ADFEA4">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（3）外窗更换施工要点</w:t>
      </w:r>
    </w:p>
    <w:p w14:paraId="4A0A1FAF">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拆除建筑原有普通中空玻璃不达标的老旧外窗，在完全保留原有窗洞尺寸、安装位置、开启形式及建筑立面效果的前提下，统一更换高性能节能外窗。施工采用70系列金属隔热窗框，搭配34mm宽专用隔热条，玻璃采用6高透单银Low-E+9A+5+9A+6三玻两腔中空构造，严格控制0.25窗框比施工精度。窗框安装做到横平竖直、固定牢靠，窗框与墙体间隙采用高效柔性保温材料分层填实，杜绝缝隙热桥，外侧采用耐候密封胶整体连续封闭，提升窗体气密性与水密性。施工全过程保护建筑外立面完整性，不改动墙体结构与立面造型。完工后检测外窗各项热工与光学指标，确保传热系数由2.20W/(㎡·K)降至1.90W/(㎡·K)，太阳得热系数控制为0.398，可见光透射比提升至0.65，气密性稳定达到6级，同步优化建筑保温隔热、夏季防辐射得热与室内自然采光性能，全部指标满足规范限值要求。</w:t>
      </w:r>
    </w:p>
    <w:p w14:paraId="3C9626E2">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（4）架空、外挑楼板保温施工要点</w:t>
      </w:r>
    </w:p>
    <w:p w14:paraId="706FFF43">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针对原架空及外挑楼板无有效保温、传热系数大、易结露的缺陷，实施下侧新增保温层专项改造。原有楼板构造保持不变，保留9mm水泥砂浆面层、120mm钢筋混凝土楼板主体结构。施工前对楼板底部基层进行彻底清理、除尘找平及界面处理，去除浮灰、油污、松动残渣，保证保温粘贴基面坚实平整。采用A级防火TR10岩棉条复合板作为保温主材，统一铺设75mm厚保温层，采用粘锚结合的固定工艺，确保板材与混凝土基层粘结紧密、固定牢固，板材之间拼缝严密、错缝铺设，杜绝空洞、通缝、松动等热桥隐患。施工完成后形成完整的水泥砂浆面层、钢筋混凝土楼板、岩棉条复合板保温全新构造体系，核验传热系数降至0.626W/(㎡·K)，热惰性指标提升至2.437，满足规范K≤0.65W/(㎡·K)限值。同时完成内表面结露验算，确保冬季室内无结露现象，彻底解决架空楼板热量快速传递、潮湿结露问题。</w:t>
      </w:r>
    </w:p>
    <w:p w14:paraId="2B1614A2">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103" w:name="_Toc32043"/>
      <w:r>
        <w:rPr>
          <w:rFonts w:hint="eastAsia" w:ascii="宋体" w:hAnsi="宋体" w:cs="Arial"/>
          <w:b/>
          <w:bCs/>
          <w:kern w:val="2"/>
          <w:sz w:val="24"/>
          <w:szCs w:val="21"/>
          <w:lang w:val="en-US" w:eastAsia="zh-CN" w:bidi="ar-SA"/>
        </w:rPr>
        <w:t>设备安装要点</w:t>
      </w:r>
      <w:bookmarkEnd w:id="103"/>
    </w:p>
    <w:p w14:paraId="479D814E">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本次用能系统及清洁能源改造涵盖高效多联机空调系统升级、分区智能照明系统改造、屋顶光伏及储能系统增设，施工重点围绕高能效设备替换、智能控制模块加装、清洁能源设备标准化安装调试开展，严格匹配建筑围护结构优化后的低负荷工况，保障设备运行高效、控制精准、系统稳定，全面提升建筑机电系统节能水平与清洁能源利用率。</w:t>
      </w:r>
    </w:p>
    <w:p w14:paraId="161F6E66">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（1）空调/采暖系统安装要点</w:t>
      </w:r>
    </w:p>
    <w:p w14:paraId="5F31B15E">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拆除原有低效多联机空调设备，全面替换为APF=4.20的高能效多联机系统，从设备硬件层面提升机组运行能效。设备安装严格按照设计参数匹配建筑改造后冷热负荷，规范布设冷媒管路、电气主线、控制系统线路，保证管路密封严密、无渗漏、无压力损耗，设备固定平稳、布线规整。同步加装变频群控系统与室内人员感应装置，精准对接主机控制模块，实现机组动态变频、负荷自适应调节。系统安装完成后开展整机调试、负荷校准、感应联动测试，确保机组可实现供冷期集中运行、分区按需启停，能够根据室内人员分布动态调节输出功率，彻底解决传统机组低负荷空转、低效运行的问题，有效降低全年供冷电耗。</w:t>
      </w:r>
    </w:p>
    <w:p w14:paraId="4793DB10">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（2）照明系统改造安装要点</w:t>
      </w:r>
    </w:p>
    <w:p w14:paraId="5CDA3CBF">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针对建筑不同功能区域实施差异化节能照明改造，普通教室、办公室等长期固定使用区域统一更换高光效、低光衰LED节能光源，在保障室内照度、照明均匀度满足使用规范的前提下，降低基础照明能耗。走廊、楼梯间、卫生间等公共过渡区域，全部更换为雷达感应+光控一体化智能LED灯具。施工过程中规范改造照明回路，加装智能控制模块，调试光线感应阈值、人体感应距离及延时关闭参数，确保灯具可实现白天高光环境自动熄灭、夜间无人低功耗待机、有人即时点亮的智能运行模式。灯具安装排布规整、固定牢固，线路做好绝缘防护，杜绝漏电、故障隐患，实现公共区域照明无人不耗电、有人按需亮灯的节能效果。</w:t>
      </w:r>
    </w:p>
    <w:p w14:paraId="2804CB3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（3）光伏发电及储能系统安装要点</w:t>
      </w:r>
    </w:p>
    <w:p w14:paraId="1DEE84CA">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充分利用建筑屋顶闲置空间，规划布设总面积300㎡光伏系统，替换升级为高性能N型TOPCon光伏组件，提升光电转换效率与发电稳定性。施工前完成屋顶承重复核、防水检测及防雷设施核验，确保安装基底安全合规。光伏组件按照最优日照角度规整排布，支架防腐抗风、固定牢靠，组件间隙均匀、无遮挡，最大化利用屋面日照资源。同步配套安装小型储能装置，规范完成光伏组件、逆变器、并网设备、储能系统的线路对接与调试，做好线路防水、防雷、绝缘防护。系统调试阶段重点校准光伏发电、电量存储、放电切换逻辑，确保午间富余光伏发电量可有效储存，可稳定用于建筑夜间应急照明负荷，实现清洁能源错峰利用、降低电网依赖。</w:t>
      </w:r>
    </w:p>
    <w:p w14:paraId="78043A07">
      <w:pPr>
        <w:keepNext/>
        <w:keepLines w:val="0"/>
        <w:pageBreakBefore w:val="0"/>
        <w:widowControl w:val="0"/>
        <w:numPr>
          <w:ilvl w:val="1"/>
          <w:numId w:val="1"/>
        </w:numPr>
        <w:tabs>
          <w:tab w:val="left" w:pos="420"/>
        </w:tabs>
        <w:kinsoku w:val="0"/>
        <w:wordWrap/>
        <w:overflowPunct/>
        <w:topLinePunct w:val="0"/>
        <w:autoSpaceDE/>
        <w:autoSpaceDN/>
        <w:bidi w:val="0"/>
        <w:adjustRightInd/>
        <w:snapToGrid/>
        <w:spacing w:before="0" w:after="0" w:line="400" w:lineRule="exact"/>
        <w:ind w:left="0" w:leftChars="0" w:firstLine="562" w:firstLineChars="200"/>
        <w:jc w:val="left"/>
        <w:textAlignment w:val="auto"/>
        <w:outlineLvl w:val="1"/>
        <w:rPr>
          <w:rFonts w:hint="eastAsia" w:ascii="宋体" w:hAnsi="宋体" w:eastAsia="宋体" w:cs="Arial"/>
          <w:b/>
          <w:bCs/>
          <w:iCs/>
          <w:color w:val="000000"/>
          <w:kern w:val="2"/>
          <w:sz w:val="28"/>
          <w:szCs w:val="24"/>
          <w:lang w:val="en-US" w:eastAsia="zh-CN" w:bidi="ar-SA"/>
        </w:rPr>
      </w:pPr>
      <w:bookmarkStart w:id="104" w:name="_Toc20762"/>
      <w:r>
        <w:rPr>
          <w:rFonts w:hint="eastAsia" w:ascii="宋体" w:hAnsi="宋体" w:eastAsia="宋体" w:cs="Arial"/>
          <w:b/>
          <w:bCs/>
          <w:iCs/>
          <w:color w:val="000000"/>
          <w:kern w:val="2"/>
          <w:sz w:val="28"/>
          <w:szCs w:val="24"/>
          <w:lang w:val="en-US" w:eastAsia="zh-CN" w:bidi="ar-SA"/>
        </w:rPr>
        <w:t>运行管理建议</w:t>
      </w:r>
      <w:bookmarkEnd w:id="104"/>
    </w:p>
    <w:p w14:paraId="79BE50F3">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105" w:name="_Toc14060"/>
      <w:r>
        <w:rPr>
          <w:rFonts w:hint="eastAsia" w:ascii="宋体" w:hAnsi="宋体" w:cs="Arial"/>
          <w:b/>
          <w:bCs/>
          <w:kern w:val="2"/>
          <w:sz w:val="24"/>
          <w:szCs w:val="21"/>
          <w:lang w:val="en-US" w:eastAsia="zh-CN" w:bidi="ar-SA"/>
        </w:rPr>
        <w:t>能源管理</w:t>
      </w:r>
      <w:bookmarkEnd w:id="105"/>
    </w:p>
    <w:p w14:paraId="0BBF9F81">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结合本建筑外墙、屋面、外窗、架空楼板全方位围护节能优化成果，搭配高效多联机、智能照明、光伏储能清洁能源系统，建立分区、分时、动态化的精细化能源管理体系，充分发挥围护结构低传热、低能耗优势，最大化提升机电设备能效与清洁能源消纳利用率。</w:t>
      </w:r>
    </w:p>
    <w:p w14:paraId="76D8F500">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（1）围护结构节能常态化管控</w:t>
      </w:r>
    </w:p>
    <w:p w14:paraId="4DC5EC0B">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依托改造后外墙、屋面稳定的超低传热系数与高热惰性性能，结合高性能三玻两腔Low-E外窗、架空楼板保温升级优势，建立建筑负荷长效管控机制。屋面、外墙优异的保温蓄热性能可有效缓冲室外温度波动，降低室内冷热负荷波动幅度；优化后的外窗可同步削弱夏季太阳辐射得热、减少冬季室内热量流失，兼顾采光与节能；架空楼板保温改造彻底消除底部透热与结露隐患。日常运营中规范门窗管理，减少频繁开窗造成的冷热损耗，充分利用围护结构整体节能优势，从源头降低空调系统运行负荷，实现被动式节能降耗。</w:t>
      </w:r>
    </w:p>
    <w:p w14:paraId="0265A431">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（2）空调系统智能能效管理</w:t>
      </w:r>
    </w:p>
    <w:p w14:paraId="65E6046A">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针对升级后APF=4.20高效多联机及变频群控系统，建立科学化、智能化运行管理制度。依托人员感应动态调节功能，实现无人区域机组低载待机或停机、有人区域精准控温运行，杜绝传统空调低负荷低效空转能耗。供冷期实行集中统一调度、分区按需启停，结合室内外温度变化、人员在岗情况动态优化机组运行参数，避免过度制冷、无效运行。建立空调能耗台账，定期统计机组运行时长、分区耗电量，对比分析节能效果，持续优化群控逻辑与温控策略，稳定维持机组高效运行状态，持续降低建筑供冷能耗。</w:t>
      </w:r>
    </w:p>
    <w:p w14:paraId="4B6BFE50">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（3）照明系统分区节能管理</w:t>
      </w:r>
    </w:p>
    <w:p w14:paraId="51E03F96">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实行分区差异化照明管控模式。教室、办公室等固定功能区域，充分利用自然采光，白天适度减少人工照明开启时长，杜绝长明灯现象；公共区域依托雷达感应+光控智能灯具的设备优势，无需人工干预，依托智能系统自动适配光照条件与人员活动情况运行。安排专人定期巡查照明使用情况，杜绝私自改装灯具、常开常亮等浪费行为，最大化发挥智能照明系统的节能优势，实现照明能耗精细化管控。</w:t>
      </w:r>
    </w:p>
    <w:p w14:paraId="1A4ACE5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（4）光伏储能系统错峰用能管理</w:t>
      </w:r>
    </w:p>
    <w:p w14:paraId="6E5B65A4">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建立光伏发电自用优先、储能错峰补能的用能机制。日间光照充足时段，优先利用N型高效光伏组件发电量供给建筑日常用电负荷，就地消纳清洁电力，减少市电取用；午间发电富余电量统一储存至储能装置，专项用于建筑夜间应急照明及基础负荷用电。建立光伏发电、储能充放电月度台账，统计发电量、消纳量、储能利用率，根据季节日照变化动态优化用能策略，有效降低建筑对传统电网的依赖，提升建筑绿色低碳运行水平。</w:t>
      </w:r>
    </w:p>
    <w:p w14:paraId="40E9C601">
      <w:pPr>
        <w:keepNext/>
        <w:keepLines w:val="0"/>
        <w:pageBreakBefore w:val="0"/>
        <w:widowControl w:val="0"/>
        <w:numPr>
          <w:ilvl w:val="2"/>
          <w:numId w:val="1"/>
        </w:numPr>
        <w:tabs>
          <w:tab w:val="left" w:pos="578"/>
        </w:tabs>
        <w:kinsoku/>
        <w:wordWrap/>
        <w:overflowPunct/>
        <w:topLinePunct w:val="0"/>
        <w:autoSpaceDE/>
        <w:autoSpaceDN/>
        <w:bidi w:val="0"/>
        <w:adjustRightInd/>
        <w:snapToGrid/>
        <w:spacing w:before="0" w:after="0" w:line="400" w:lineRule="exact"/>
        <w:ind w:left="0" w:leftChars="0" w:firstLine="482" w:firstLineChars="200"/>
        <w:jc w:val="left"/>
        <w:textAlignment w:val="auto"/>
        <w:outlineLvl w:val="2"/>
        <w:rPr>
          <w:rFonts w:hint="eastAsia" w:ascii="宋体" w:hAnsi="宋体" w:cs="Arial"/>
          <w:b/>
          <w:bCs/>
          <w:kern w:val="2"/>
          <w:sz w:val="24"/>
          <w:szCs w:val="21"/>
          <w:lang w:val="en-US" w:eastAsia="zh-CN" w:bidi="ar-SA"/>
        </w:rPr>
      </w:pPr>
      <w:bookmarkStart w:id="106" w:name="_Toc14024"/>
      <w:r>
        <w:rPr>
          <w:rFonts w:hint="eastAsia" w:ascii="宋体" w:hAnsi="宋体" w:cs="Arial"/>
          <w:b/>
          <w:bCs/>
          <w:kern w:val="2"/>
          <w:sz w:val="24"/>
          <w:szCs w:val="21"/>
          <w:lang w:val="en-US" w:eastAsia="zh-CN" w:bidi="ar-SA"/>
        </w:rPr>
        <w:t>设备维护</w:t>
      </w:r>
      <w:bookmarkEnd w:id="106"/>
    </w:p>
    <w:p w14:paraId="03B4BF7D">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针对本次改造的围护结构、多联机空调系统、智能照明系统、光伏储能系统，建立分类分级、常态化、全周期的运维保养机制，保障各系统长期稳定达标运行，持续保留节能改造成果，延长设备与构造使用寿命。</w:t>
      </w:r>
    </w:p>
    <w:p w14:paraId="0491434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（1）围护结构维护保养</w:t>
      </w:r>
    </w:p>
    <w:p w14:paraId="3B557033">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定期开展外墙、屋面、外窗、架空楼板全方位巡检维保。每季度检查外墙岩棉保温系统、防水层、涂料饰面完整性，排查局部开裂、空鼓、渗水隐患，修复破损部位，保证外墙热工参数长期稳定。每半年对屋面保护层、防水层、保温层进行全面排查，处理细微裂缝、积水隐患，维持屋面保温防水耐久性能。常态化检查外窗玻璃、密封胶、隔热型材及五金配件，确保窗体气密性、隔热性能不衰减。定期检查架空楼板底部岩棉条复合板保温层，核查板材固定状态、粘结强度及密封接缝，杜绝松动、受潮、脱落问题，保证楼板保温性能及防结露效果长期达标。</w:t>
      </w:r>
    </w:p>
    <w:p w14:paraId="77CF055A">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（2）空调多联机及群控系统维护</w:t>
      </w:r>
    </w:p>
    <w:p w14:paraId="2FED96F4">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建立换季维保、月度巡检制度。定期清洗多联机换热器、滤网，清除积尘杂物，保障机组换热效率与送风质量。每年冷暖季启用前，检测机组能效参数、冷媒密封性、管路运行状态，校准APF能效指标。重点针对变频群控系统、人员感应装置开展专项检测，调试感应灵敏度、变频调节逻辑、分区启停功能，确保智能调控设备精准联动、稳定运行。及时排查电气线路、控制模块故障隐患，杜绝机组低效运行、能耗异常升高，长期维持空调系统高效节能运行状态。</w:t>
      </w:r>
    </w:p>
    <w:p w14:paraId="71FD82C6">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（3）智能照明系统维护</w:t>
      </w:r>
    </w:p>
    <w:p w14:paraId="08E96911">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常态化开展照明系统巡检维护，及时更换光衰、损坏的LED灯具，保证各区域照明效果稳定。定期检查公共区域雷达感应、光控智能模块，调试感应参数、延时关闭功能，修复感应失灵、灯具常亮、误触发等故障。定期检查照明线路、开关及控制回路，杜绝线路老化、短路、漏电等安全隐患，确保智能照明系统长期稳定、精准节能运行。</w:t>
      </w:r>
    </w:p>
    <w:p w14:paraId="25603BF3">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（4）光伏及储能系统维护</w:t>
      </w:r>
    </w:p>
    <w:p w14:paraId="0D870B9C">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r>
        <w:rPr>
          <w:rFonts w:hint="eastAsia" w:ascii="宋体" w:hAnsi="宋体" w:eastAsia="宋体" w:cs="Times New Roman"/>
          <w:spacing w:val="-2"/>
          <w:kern w:val="2"/>
          <w:sz w:val="24"/>
          <w:lang w:val="en-US" w:eastAsia="zh-CN"/>
        </w:rPr>
        <w:t>实行月度巡检、年度全检校准制度。定期清理N型TOPCon光伏组件表面灰尘、落叶、杂物，避免遮挡影响光电转换效率。每月检查组件支架、固定构件、线路接头、逆变器运行工况，排查线路老化、松动、设备告警等隐患。每年度对储能装置进行专项检测，校验电池容量、充放电效率、稳压性能，保障储能设备储放电稳定、安全可靠。结合组件性能衰减规律开展预判性维保，确保光伏系统长期高效发电、储能系统稳定错峰供能，持续发挥清洁能源节能效益。</w:t>
      </w:r>
    </w:p>
    <w:p w14:paraId="1182E29E">
      <w:pPr>
        <w:keepNext/>
        <w:keepLines w:val="0"/>
        <w:pageBreakBefore w:val="0"/>
        <w:widowControl w:val="0"/>
        <w:numPr>
          <w:ilvl w:val="0"/>
          <w:numId w:val="0"/>
        </w:numPr>
        <w:tabs>
          <w:tab w:val="left" w:pos="578"/>
        </w:tabs>
        <w:kinsoku/>
        <w:wordWrap/>
        <w:overflowPunct/>
        <w:topLinePunct w:val="0"/>
        <w:autoSpaceDE/>
        <w:autoSpaceDN/>
        <w:bidi w:val="0"/>
        <w:adjustRightInd/>
        <w:snapToGrid/>
        <w:spacing w:before="0" w:after="0" w:line="400" w:lineRule="exact"/>
        <w:jc w:val="left"/>
        <w:textAlignment w:val="auto"/>
        <w:outlineLvl w:val="2"/>
        <w:rPr>
          <w:rFonts w:hint="eastAsia" w:ascii="宋体" w:hAnsi="宋体" w:cs="Arial"/>
          <w:b/>
          <w:bCs/>
          <w:kern w:val="2"/>
          <w:sz w:val="24"/>
          <w:szCs w:val="21"/>
          <w:lang w:val="en-US" w:eastAsia="zh-CN" w:bidi="ar-SA"/>
        </w:rPr>
      </w:pPr>
      <w:r>
        <w:rPr>
          <w:rFonts w:hint="eastAsia" w:ascii="宋体" w:hAnsi="宋体" w:cs="Arial"/>
          <w:b/>
          <w:bCs/>
          <w:kern w:val="2"/>
          <w:sz w:val="24"/>
          <w:szCs w:val="21"/>
          <w:lang w:val="en-US" w:eastAsia="zh-CN" w:bidi="ar-SA"/>
        </w:rPr>
        <w:br w:type="page"/>
      </w:r>
    </w:p>
    <w:p w14:paraId="335C3580">
      <w:pPr>
        <w:keepNext/>
        <w:keepLines/>
        <w:pageBreakBefore w:val="0"/>
        <w:widowControl w:val="0"/>
        <w:numPr>
          <w:ilvl w:val="0"/>
          <w:numId w:val="1"/>
        </w:numPr>
        <w:kinsoku/>
        <w:wordWrap/>
        <w:overflowPunct/>
        <w:topLinePunct w:val="0"/>
        <w:autoSpaceDE/>
        <w:autoSpaceDN/>
        <w:bidi w:val="0"/>
        <w:adjustRightInd/>
        <w:snapToGrid/>
        <w:spacing w:before="0" w:after="0" w:line="400" w:lineRule="exact"/>
        <w:ind w:left="0" w:leftChars="0" w:firstLine="602" w:firstLineChars="200"/>
        <w:jc w:val="left"/>
        <w:textAlignment w:val="auto"/>
        <w:outlineLvl w:val="0"/>
        <w:rPr>
          <w:rFonts w:hint="eastAsia" w:ascii="宋体" w:hAnsi="宋体" w:eastAsia="宋体" w:cs="Times New Roman"/>
          <w:b/>
          <w:kern w:val="44"/>
          <w:sz w:val="30"/>
          <w:szCs w:val="30"/>
          <w:lang w:val="en-US" w:eastAsia="zh-CN" w:bidi="ar-SA"/>
        </w:rPr>
      </w:pPr>
      <w:bookmarkStart w:id="107" w:name="_Toc24754"/>
      <w:r>
        <w:rPr>
          <w:rFonts w:hint="eastAsia" w:ascii="宋体" w:hAnsi="宋体" w:eastAsia="宋体" w:cs="Times New Roman"/>
          <w:b/>
          <w:kern w:val="44"/>
          <w:sz w:val="30"/>
          <w:szCs w:val="30"/>
          <w:lang w:val="en-US" w:eastAsia="zh-CN" w:bidi="ar-SA"/>
        </w:rPr>
        <w:t>结论</w:t>
      </w:r>
      <w:bookmarkEnd w:id="107"/>
    </w:p>
    <w:p w14:paraId="6A0A8677">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lang w:val="en-US" w:eastAsia="zh-CN"/>
        </w:rPr>
      </w:pPr>
    </w:p>
    <w:p w14:paraId="294E882E">
      <w:pPr>
        <w:spacing w:line="720" w:lineRule="auto"/>
        <w:jc w:val="center"/>
        <w:outlineLvl w:val="1"/>
        <w:rPr>
          <w:rFonts w:hint="eastAsia" w:ascii="Arial" w:hAnsi="微软雅黑" w:eastAsia="微软雅黑" w:cs="微软雅黑"/>
          <w:kern w:val="2"/>
          <w:sz w:val="28"/>
          <w:szCs w:val="28"/>
          <w:lang w:val="en-US" w:eastAsia="zh-CN" w:bidi="ar-SA"/>
        </w:rPr>
      </w:pPr>
      <w:r>
        <w:rPr>
          <w:rFonts w:hint="eastAsia" w:ascii="宋体" w:hAnsi="宋体" w:eastAsia="宋体" w:cs="Times New Roman"/>
          <w:b/>
          <w:kern w:val="44"/>
          <w:sz w:val="32"/>
          <w:szCs w:val="24"/>
          <w:lang w:val="en-US" w:eastAsia="zh-CN" w:bidi="ar-SA"/>
        </w:rPr>
        <w:br w:type="page"/>
      </w:r>
      <w:bookmarkStart w:id="108" w:name="_Toc28201"/>
      <w:r>
        <w:rPr>
          <w:rFonts w:hint="eastAsia" w:ascii="宋体" w:hAnsi="宋体" w:eastAsia="宋体" w:cs="宋体"/>
          <w:b/>
          <w:bCs/>
          <w:kern w:val="2"/>
          <w:sz w:val="32"/>
          <w:szCs w:val="32"/>
          <w:lang w:val="en-US" w:eastAsia="zh-CN" w:bidi="ar-SA"/>
        </w:rPr>
        <w:t>致</w:t>
      </w:r>
      <w:r>
        <w:rPr>
          <w:rFonts w:hint="eastAsia" w:ascii="宋体" w:hAnsi="宋体" w:eastAsia="宋体" w:cs="宋体"/>
          <w:b/>
          <w:bCs/>
          <w:spacing w:val="82"/>
          <w:kern w:val="2"/>
          <w:sz w:val="32"/>
          <w:szCs w:val="32"/>
          <w:lang w:val="en-US" w:eastAsia="zh-CN" w:bidi="ar-SA"/>
        </w:rPr>
        <w:t xml:space="preserve">  </w:t>
      </w:r>
      <w:r>
        <w:rPr>
          <w:rFonts w:hint="eastAsia" w:ascii="宋体" w:hAnsi="宋体" w:eastAsia="宋体" w:cs="宋体"/>
          <w:b/>
          <w:bCs/>
          <w:kern w:val="2"/>
          <w:sz w:val="32"/>
          <w:szCs w:val="32"/>
          <w:lang w:val="en-US" w:eastAsia="zh-CN" w:bidi="ar-SA"/>
        </w:rPr>
        <w:t>谢</w:t>
      </w:r>
      <w:bookmarkEnd w:id="108"/>
    </w:p>
    <w:p w14:paraId="5241BAB6">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rPr>
      </w:pPr>
      <w:r>
        <w:rPr>
          <w:rFonts w:hint="eastAsia" w:ascii="宋体" w:hAnsi="宋体" w:eastAsia="宋体" w:cs="Times New Roman"/>
          <w:spacing w:val="-2"/>
          <w:kern w:val="2"/>
          <w:sz w:val="24"/>
          <w:lang w:val="en-US" w:eastAsia="zh-CN"/>
        </w:rPr>
        <w:t>能够顺利完成这篇论文，离不开各位老师、同学和家人的帮助与支持。在这里，我想向所有给予我指导、关心和鼓励的人，表达我最真诚的感谢。</w:t>
      </w:r>
    </w:p>
    <w:p w14:paraId="1C357D63">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rPr>
      </w:pPr>
      <w:r>
        <w:rPr>
          <w:rFonts w:hint="eastAsia" w:ascii="宋体" w:hAnsi="宋体" w:eastAsia="宋体" w:cs="Times New Roman"/>
          <w:spacing w:val="-2"/>
          <w:kern w:val="2"/>
          <w:sz w:val="24"/>
          <w:lang w:val="en-US" w:eastAsia="zh-CN"/>
        </w:rPr>
        <w:t>首先，我最想感谢我的指导老师。从论文选题、整体框架搭建，到绿色性能分析中的各项细节问题，老师在整个写作过程中都耐心指导、细心点拨。面对建筑节能、</w:t>
      </w:r>
      <w:r>
        <w:rPr>
          <w:rFonts w:hint="eastAsia" w:ascii="宋体" w:hAnsi="宋体" w:cs="Times New Roman"/>
          <w:spacing w:val="-2"/>
          <w:kern w:val="2"/>
          <w:sz w:val="24"/>
          <w:lang w:val="en-US" w:eastAsia="zh-CN"/>
        </w:rPr>
        <w:t>能耗</w:t>
      </w:r>
      <w:r>
        <w:rPr>
          <w:rFonts w:hint="eastAsia" w:ascii="宋体" w:hAnsi="宋体" w:eastAsia="宋体" w:cs="Times New Roman"/>
          <w:spacing w:val="-2"/>
          <w:kern w:val="2"/>
          <w:sz w:val="24"/>
          <w:lang w:val="en-US" w:eastAsia="zh-CN"/>
        </w:rPr>
        <w:t>核算、热环境与</w:t>
      </w:r>
      <w:r>
        <w:rPr>
          <w:rFonts w:hint="eastAsia" w:ascii="宋体" w:hAnsi="宋体" w:cs="Times New Roman"/>
          <w:spacing w:val="-2"/>
          <w:kern w:val="2"/>
          <w:sz w:val="24"/>
          <w:lang w:val="en-US" w:eastAsia="zh-CN"/>
        </w:rPr>
        <w:t>光</w:t>
      </w:r>
      <w:r>
        <w:rPr>
          <w:rFonts w:hint="eastAsia" w:ascii="宋体" w:hAnsi="宋体" w:eastAsia="宋体" w:cs="Times New Roman"/>
          <w:spacing w:val="-2"/>
          <w:kern w:val="2"/>
          <w:sz w:val="24"/>
          <w:lang w:val="en-US" w:eastAsia="zh-CN"/>
        </w:rPr>
        <w:t>环境分析等专业难点，老师一次次帮我理清思路、解决困惑，给出的修改建议也十分贴合研究实际。老师认真严谨的治学态度深深影响了我，让我在本次研究中收获颇丰、受益匪浅。</w:t>
      </w:r>
    </w:p>
    <w:p w14:paraId="0E514F59">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rPr>
      </w:pPr>
      <w:r>
        <w:rPr>
          <w:rFonts w:hint="eastAsia" w:ascii="宋体" w:hAnsi="宋体" w:eastAsia="宋体" w:cs="Times New Roman"/>
          <w:spacing w:val="-2"/>
          <w:kern w:val="2"/>
          <w:sz w:val="24"/>
          <w:lang w:val="en-US" w:eastAsia="zh-CN"/>
        </w:rPr>
        <w:t>感谢母校为我提供了良好的学习环境，也感谢所有专业课老师的悉心教学。课堂上学到的绿色建筑相关知识和实操技巧，为我本次的论文研究打下了坚实的基础。同时，非常感谢身边的各位同学，在论文写作和模拟研究的过程中，我们一起交流探讨、互相分享经验，每当我在数据处理、软件操作上遇到难题时，大家都会互帮互助，帮我顺利解决了很多研究中的困难。</w:t>
      </w:r>
    </w:p>
    <w:p w14:paraId="060E769E">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rPr>
      </w:pPr>
      <w:r>
        <w:rPr>
          <w:rFonts w:hint="eastAsia" w:ascii="宋体" w:hAnsi="宋体" w:eastAsia="宋体" w:cs="Times New Roman"/>
          <w:spacing w:val="-2"/>
          <w:kern w:val="2"/>
          <w:sz w:val="24"/>
          <w:lang w:val="en-US" w:eastAsia="zh-CN"/>
        </w:rPr>
        <w:t>感谢我的家人，在我求学和论文写作的这段时间里，一直默默包容我、支持我，让我没有后顾之忧，可以专心投入到学习和论</w:t>
      </w:r>
      <w:bookmarkStart w:id="114" w:name="_GoBack"/>
      <w:bookmarkEnd w:id="114"/>
      <w:r>
        <w:rPr>
          <w:rFonts w:hint="eastAsia" w:ascii="宋体" w:hAnsi="宋体" w:eastAsia="宋体" w:cs="Times New Roman"/>
          <w:spacing w:val="-2"/>
          <w:kern w:val="2"/>
          <w:sz w:val="24"/>
          <w:lang w:val="en-US" w:eastAsia="zh-CN"/>
        </w:rPr>
        <w:t>文研究中，是我最坚实、最温暖的后盾。同时，也感谢本篇论文所有参考文献和行业规范的作者，前人的优秀研究成果，为我的论文分析和写作提供了充足的参考与帮助。</w:t>
      </w:r>
    </w:p>
    <w:p w14:paraId="40708585">
      <w:pPr>
        <w:widowControl w:val="0"/>
        <w:tabs>
          <w:tab w:val="left" w:pos="3472"/>
          <w:tab w:val="clear" w:pos="377"/>
        </w:tabs>
        <w:spacing w:line="400" w:lineRule="exact"/>
        <w:ind w:firstLine="472" w:firstLineChars="200"/>
        <w:rPr>
          <w:rFonts w:hint="eastAsia" w:ascii="宋体" w:hAnsi="宋体" w:eastAsia="宋体" w:cs="Times New Roman"/>
          <w:spacing w:val="-2"/>
          <w:kern w:val="2"/>
          <w:sz w:val="24"/>
        </w:rPr>
      </w:pPr>
      <w:r>
        <w:rPr>
          <w:rFonts w:hint="eastAsia" w:ascii="宋体" w:hAnsi="宋体" w:eastAsia="宋体" w:cs="Times New Roman"/>
          <w:spacing w:val="-2"/>
          <w:kern w:val="2"/>
          <w:sz w:val="24"/>
          <w:lang w:val="en-US" w:eastAsia="zh-CN"/>
        </w:rPr>
        <w:t>这次论文研究，是对我大学专业学习的一次全面总结，也让我清楚地看到了自己专业能力上的不足。在今后的学习和工作中，我会带着本次研究的收获，继续学习绿色建筑相关知识，不断提升自己，努力把所学知识运用到实际工作中，为建筑行业的绿色发展贡献自己的一份力量。</w:t>
      </w:r>
    </w:p>
    <w:p w14:paraId="7920D399">
      <w:pPr>
        <w:widowControl w:val="0"/>
        <w:tabs>
          <w:tab w:val="left" w:pos="3472"/>
          <w:tab w:val="clear" w:pos="377"/>
        </w:tabs>
        <w:spacing w:line="400" w:lineRule="exact"/>
        <w:ind w:firstLine="472" w:firstLineChars="200"/>
        <w:rPr>
          <w:rFonts w:hint="eastAsia" w:ascii="宋体" w:hAnsi="宋体" w:eastAsia="宋体" w:cs="宋体"/>
          <w:kern w:val="2"/>
          <w:sz w:val="24"/>
          <w:szCs w:val="24"/>
          <w:lang w:val="en-US" w:eastAsia="zh-CN" w:bidi="ar-SA"/>
        </w:rPr>
      </w:pPr>
      <w:r>
        <w:rPr>
          <w:rFonts w:hint="eastAsia" w:ascii="宋体" w:hAnsi="宋体" w:eastAsia="宋体" w:cs="Times New Roman"/>
          <w:spacing w:val="-2"/>
          <w:kern w:val="2"/>
          <w:sz w:val="24"/>
          <w:lang w:val="en-US" w:eastAsia="zh-CN"/>
        </w:rPr>
        <w:t>最后，再次向所有曾经帮助、支持和陪伴过我的老师、同学与家人，致以最诚挚的谢意</w:t>
      </w:r>
    </w:p>
    <w:p w14:paraId="1B26A143">
      <w:pPr>
        <w:widowControl w:val="0"/>
        <w:spacing w:line="240" w:lineRule="auto"/>
        <w:rPr>
          <w:rFonts w:ascii="宋体" w:hAnsi="宋体" w:eastAsia="宋体" w:cs="Times New Roman"/>
          <w:spacing w:val="-2"/>
          <w:kern w:val="2"/>
          <w:sz w:val="24"/>
        </w:rPr>
      </w:pPr>
      <w:r>
        <w:rPr>
          <w:rFonts w:ascii="宋体" w:hAnsi="宋体" w:eastAsia="宋体" w:cs="Times New Roman"/>
          <w:spacing w:val="-2"/>
          <w:kern w:val="2"/>
          <w:sz w:val="24"/>
        </w:rPr>
        <w:br w:type="page"/>
      </w:r>
    </w:p>
    <w:p w14:paraId="1F57E1CB">
      <w:pPr>
        <w:widowControl w:val="0"/>
        <w:spacing w:line="720" w:lineRule="auto"/>
        <w:jc w:val="center"/>
        <w:outlineLvl w:val="0"/>
        <w:rPr>
          <w:rFonts w:ascii="Arial" w:hAnsi="微软雅黑" w:eastAsia="微软雅黑" w:cs="微软雅黑"/>
          <w:kern w:val="2"/>
          <w:sz w:val="28"/>
          <w:szCs w:val="28"/>
          <w:lang w:val="en-US" w:eastAsia="en-US" w:bidi="ar-SA"/>
        </w:rPr>
      </w:pPr>
      <w:bookmarkStart w:id="109" w:name="_Toc19730"/>
      <w:r>
        <w:rPr>
          <w:rFonts w:hint="eastAsia" w:ascii="宋体" w:hAnsi="宋体" w:eastAsia="宋体" w:cs="宋体"/>
          <w:b/>
          <w:bCs/>
          <w:spacing w:val="1"/>
          <w:kern w:val="2"/>
          <w:sz w:val="32"/>
          <w:szCs w:val="32"/>
          <w:lang w:val="en-US" w:eastAsia="zh-CN" w:bidi="ar-SA"/>
        </w:rPr>
        <w:t>参考文献</w:t>
      </w:r>
      <w:bookmarkEnd w:id="109"/>
    </w:p>
    <w:p w14:paraId="06948FFA">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kern w:val="2"/>
          <w:sz w:val="24"/>
        </w:rPr>
      </w:pPr>
      <w:r>
        <w:rPr>
          <w:rFonts w:hint="default" w:ascii="宋体" w:hAnsi="宋体" w:eastAsia="宋体" w:cs="Times New Roman"/>
          <w:color w:val="000000"/>
          <w:kern w:val="2"/>
          <w:sz w:val="24"/>
        </w:rPr>
        <w:t>JGJ/T449-2018</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民用建筑绿色性能计算标准</w:t>
      </w:r>
      <w:bookmarkStart w:id="110" w:name="OLE_LINK10"/>
      <w:bookmarkStart w:id="111" w:name="OLE_LINK9"/>
      <w:r>
        <w:rPr>
          <w:rFonts w:hint="default" w:ascii="宋体" w:hAnsi="宋体" w:eastAsia="宋体" w:cs="Times New Roman"/>
          <w:color w:val="000000"/>
          <w:kern w:val="2"/>
          <w:sz w:val="24"/>
        </w:rPr>
        <w:t>[S]</w:t>
      </w:r>
      <w:bookmarkEnd w:id="110"/>
      <w:bookmarkEnd w:id="111"/>
      <w:r>
        <w:rPr>
          <w:rFonts w:hint="default" w:ascii="宋体" w:hAnsi="宋体" w:eastAsia="宋体" w:cs="Times New Roman"/>
          <w:color w:val="000000"/>
          <w:kern w:val="2"/>
          <w:sz w:val="24"/>
        </w:rPr>
        <w:t>. 北京: 中国建筑工业出版社</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2018.</w:t>
      </w:r>
    </w:p>
    <w:p w14:paraId="6E28F36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spacing w:val="-2"/>
          <w:kern w:val="2"/>
          <w:sz w:val="24"/>
        </w:rPr>
      </w:pPr>
      <w:r>
        <w:rPr>
          <w:rFonts w:ascii="宋体" w:hAnsi="宋体" w:eastAsia="宋体" w:cs="Times New Roman"/>
          <w:kern w:val="2"/>
          <w:sz w:val="24"/>
          <w:szCs w:val="24"/>
        </w:rPr>
        <w:t>DBJ61/T164-2019</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西安市居住建筑节能设计标准[S]. 西安: 陕西省建设标准设计站</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2020.</w:t>
      </w:r>
    </w:p>
    <w:p w14:paraId="5F2E72FC">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spacing w:val="-2"/>
          <w:kern w:val="2"/>
          <w:sz w:val="24"/>
        </w:rPr>
      </w:pPr>
      <w:r>
        <w:rPr>
          <w:rFonts w:hint="default" w:ascii="宋体" w:hAnsi="宋体" w:eastAsia="宋体" w:cs="Times New Roman"/>
          <w:color w:val="000000"/>
          <w:spacing w:val="-2"/>
          <w:kern w:val="2"/>
          <w:sz w:val="24"/>
        </w:rPr>
        <w:t>刘德建</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低碳节能建筑设计和绿色建筑生态节能设计研究</w:t>
      </w:r>
      <w:r>
        <w:rPr>
          <w:rFonts w:hint="default" w:ascii="宋体" w:hAnsi="宋体" w:eastAsia="宋体" w:cs="Times New Roman"/>
          <w:color w:val="000000"/>
          <w:kern w:val="2"/>
          <w:sz w:val="24"/>
        </w:rPr>
        <w:t>[</w:t>
      </w:r>
      <w:r>
        <w:rPr>
          <w:rFonts w:hint="default" w:ascii="宋体" w:hAnsi="宋体" w:eastAsia="宋体" w:cs="Times New Roman"/>
          <w:color w:val="000000"/>
          <w:kern w:val="2"/>
          <w:sz w:val="24"/>
          <w:lang w:val="en-US" w:eastAsia="zh-CN"/>
        </w:rPr>
        <w:t>J</w:t>
      </w:r>
      <w:r>
        <w:rPr>
          <w:rFonts w:hint="default" w:ascii="宋体" w:hAnsi="宋体" w:eastAsia="宋体" w:cs="Times New Roman"/>
          <w:color w:val="000000"/>
          <w:kern w:val="2"/>
          <w:sz w:val="24"/>
        </w:rPr>
        <w:t xml:space="preserve">]. </w:t>
      </w:r>
      <w:r>
        <w:rPr>
          <w:rFonts w:hint="default" w:ascii="宋体" w:hAnsi="宋体" w:eastAsia="宋体" w:cs="Times New Roman"/>
          <w:color w:val="000000"/>
          <w:spacing w:val="-2"/>
          <w:kern w:val="2"/>
          <w:sz w:val="24"/>
        </w:rPr>
        <w:t>北京</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建筑技术开发</w:t>
      </w:r>
      <w:r>
        <w:rPr>
          <w:rFonts w:hint="eastAsia" w:ascii="宋体" w:hAnsi="宋体" w:eastAsia="宋体" w:cs="宋体"/>
          <w:color w:val="000000"/>
          <w:kern w:val="2"/>
          <w:sz w:val="24"/>
          <w:lang w:val="en-US" w:eastAsia="zh-CN"/>
        </w:rPr>
        <w:t xml:space="preserve">, </w:t>
      </w:r>
      <w:r>
        <w:rPr>
          <w:rFonts w:hint="default" w:ascii="宋体" w:hAnsi="宋体" w:eastAsia="宋体" w:cs="Times New Roman"/>
          <w:color w:val="000000"/>
          <w:spacing w:val="-2"/>
          <w:kern w:val="2"/>
          <w:sz w:val="24"/>
        </w:rPr>
        <w:t>2020</w:t>
      </w:r>
      <w:r>
        <w:rPr>
          <w:rFonts w:hint="eastAsia" w:ascii="宋体" w:hAnsi="宋体" w:eastAsia="宋体" w:cs="Times New Roman"/>
          <w:color w:val="000000"/>
          <w:spacing w:val="-2"/>
          <w:kern w:val="2"/>
          <w:sz w:val="24"/>
          <w:lang w:val="en-US" w:eastAsia="zh-CN"/>
        </w:rPr>
        <w:t xml:space="preserve">, </w:t>
      </w:r>
      <w:r>
        <w:rPr>
          <w:rFonts w:ascii="宋体" w:hAnsi="宋体" w:eastAsia="宋体" w:cs="Times New Roman"/>
          <w:kern w:val="2"/>
          <w:sz w:val="24"/>
          <w:szCs w:val="24"/>
        </w:rPr>
        <w:t>47(23):</w:t>
      </w:r>
      <w:r>
        <w:rPr>
          <w:rFonts w:hint="eastAsia" w:ascii="宋体" w:hAnsi="宋体" w:eastAsia="宋体" w:cs="宋体"/>
          <w:kern w:val="2"/>
          <w:sz w:val="24"/>
          <w:szCs w:val="24"/>
          <w:lang w:val="en-US" w:eastAsia="zh-CN"/>
        </w:rPr>
        <w:t xml:space="preserve"> </w:t>
      </w:r>
      <w:r>
        <w:rPr>
          <w:rFonts w:ascii="宋体" w:hAnsi="宋体" w:eastAsia="宋体" w:cs="Times New Roman"/>
          <w:kern w:val="2"/>
          <w:sz w:val="24"/>
          <w:szCs w:val="24"/>
        </w:rPr>
        <w:t>45-47</w:t>
      </w:r>
      <w:r>
        <w:rPr>
          <w:rFonts w:ascii="宋体" w:hAnsi="宋体" w:eastAsia="宋体" w:cs="宋体"/>
          <w:kern w:val="2"/>
          <w:sz w:val="24"/>
          <w:szCs w:val="24"/>
        </w:rPr>
        <w:t>.</w:t>
      </w:r>
    </w:p>
    <w:p w14:paraId="1F2A6FE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spacing w:val="-2"/>
          <w:kern w:val="2"/>
          <w:sz w:val="24"/>
        </w:rPr>
      </w:pPr>
      <w:r>
        <w:rPr>
          <w:rFonts w:hint="default" w:ascii="宋体" w:hAnsi="宋体" w:eastAsia="宋体" w:cs="Times New Roman"/>
          <w:color w:val="000000"/>
          <w:spacing w:val="-2"/>
          <w:kern w:val="2"/>
          <w:sz w:val="24"/>
        </w:rPr>
        <w:t>孙宏飞</w:t>
      </w:r>
      <w:r>
        <w:rPr>
          <w:rFonts w:hint="eastAsia" w:ascii="宋体" w:hAnsi="宋体" w:eastAsia="宋体" w:cs="Times New Roman"/>
          <w:color w:val="000000"/>
          <w:spacing w:val="-2"/>
          <w:kern w:val="2"/>
          <w:sz w:val="24"/>
          <w:lang w:val="en-US" w:eastAsia="zh-CN"/>
        </w:rPr>
        <w:t>.</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绿色建筑设计方法在建筑中的应用研究</w:t>
      </w:r>
      <w:r>
        <w:rPr>
          <w:rFonts w:hint="default" w:ascii="宋体" w:hAnsi="宋体" w:eastAsia="宋体" w:cs="Times New Roman"/>
          <w:color w:val="000000"/>
          <w:kern w:val="2"/>
          <w:sz w:val="24"/>
        </w:rPr>
        <w:t>[</w:t>
      </w:r>
      <w:r>
        <w:rPr>
          <w:rFonts w:hint="default" w:ascii="宋体" w:hAnsi="宋体" w:eastAsia="宋体" w:cs="Times New Roman"/>
          <w:color w:val="000000"/>
          <w:kern w:val="2"/>
          <w:sz w:val="24"/>
          <w:lang w:val="en-US" w:eastAsia="zh-CN"/>
        </w:rPr>
        <w:t>J</w:t>
      </w:r>
      <w:r>
        <w:rPr>
          <w:rFonts w:hint="default" w:ascii="宋体" w:hAnsi="宋体" w:eastAsia="宋体" w:cs="Times New Roman"/>
          <w:color w:val="000000"/>
          <w:kern w:val="2"/>
          <w:sz w:val="24"/>
        </w:rPr>
        <w:t xml:space="preserve">]. </w:t>
      </w:r>
      <w:r>
        <w:rPr>
          <w:rFonts w:hint="default" w:ascii="宋体" w:hAnsi="宋体" w:eastAsia="宋体" w:cs="Times New Roman"/>
          <w:color w:val="000000"/>
          <w:spacing w:val="-2"/>
          <w:kern w:val="2"/>
          <w:sz w:val="24"/>
        </w:rPr>
        <w:t>广东</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佛山陶瓷</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2022</w:t>
      </w:r>
      <w:r>
        <w:rPr>
          <w:rFonts w:hint="eastAsia" w:ascii="宋体" w:hAnsi="宋体" w:eastAsia="宋体" w:cs="Times New Roman"/>
          <w:color w:val="000000"/>
          <w:spacing w:val="-2"/>
          <w:kern w:val="2"/>
          <w:sz w:val="24"/>
          <w:lang w:val="en-US" w:eastAsia="zh-CN"/>
        </w:rPr>
        <w:t xml:space="preserve">, </w:t>
      </w:r>
      <w:r>
        <w:rPr>
          <w:rFonts w:ascii="宋体" w:hAnsi="宋体" w:eastAsia="宋体" w:cs="Times New Roman"/>
          <w:kern w:val="2"/>
          <w:sz w:val="24"/>
          <w:szCs w:val="24"/>
        </w:rPr>
        <w:t>32</w:t>
      </w:r>
      <w:r>
        <w:rPr>
          <w:rFonts w:hint="default" w:ascii="宋体" w:hAnsi="宋体" w:eastAsia="宋体" w:cs="Times New Roman"/>
          <w:kern w:val="2"/>
          <w:sz w:val="24"/>
          <w:szCs w:val="24"/>
          <w:lang w:val="en-US" w:eastAsia="zh-CN"/>
        </w:rPr>
        <w:t xml:space="preserve"> </w:t>
      </w:r>
      <w:r>
        <w:rPr>
          <w:rFonts w:ascii="宋体" w:hAnsi="宋体" w:eastAsia="宋体" w:cs="Times New Roman"/>
          <w:kern w:val="2"/>
          <w:sz w:val="24"/>
          <w:szCs w:val="24"/>
        </w:rPr>
        <w:t>(05): 112-113.</w:t>
      </w:r>
    </w:p>
    <w:p w14:paraId="6828E689">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spacing w:val="-2"/>
          <w:kern w:val="2"/>
          <w:sz w:val="24"/>
        </w:rPr>
      </w:pPr>
      <w:r>
        <w:rPr>
          <w:rFonts w:hint="default" w:ascii="宋体" w:hAnsi="宋体" w:eastAsia="宋体" w:cs="Times New Roman"/>
          <w:color w:val="000000"/>
          <w:spacing w:val="-2"/>
          <w:kern w:val="2"/>
          <w:sz w:val="24"/>
        </w:rPr>
        <w:t>古文昌</w:t>
      </w:r>
      <w:r>
        <w:rPr>
          <w:rFonts w:hint="eastAsia" w:ascii="宋体" w:hAnsi="宋体" w:eastAsia="宋体" w:cs="Times New Roman"/>
          <w:color w:val="000000"/>
          <w:spacing w:val="-2"/>
          <w:kern w:val="2"/>
          <w:sz w:val="24"/>
          <w:lang w:val="en-US" w:eastAsia="zh-CN"/>
        </w:rPr>
        <w:t>.</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绿色建筑设计在民用建筑设计中的应用分析</w:t>
      </w:r>
      <w:r>
        <w:rPr>
          <w:rFonts w:hint="default" w:ascii="宋体" w:hAnsi="宋体" w:eastAsia="宋体" w:cs="Times New Roman"/>
          <w:color w:val="000000"/>
          <w:kern w:val="2"/>
          <w:sz w:val="24"/>
        </w:rPr>
        <w:t>[</w:t>
      </w:r>
      <w:r>
        <w:rPr>
          <w:rFonts w:hint="default" w:ascii="宋体" w:hAnsi="宋体" w:eastAsia="宋体" w:cs="Times New Roman"/>
          <w:color w:val="000000"/>
          <w:kern w:val="2"/>
          <w:sz w:val="24"/>
          <w:lang w:val="en-US" w:eastAsia="zh-CN"/>
        </w:rPr>
        <w:t>J</w:t>
      </w:r>
      <w:r>
        <w:rPr>
          <w:rFonts w:hint="default" w:ascii="宋体" w:hAnsi="宋体" w:eastAsia="宋体" w:cs="Times New Roman"/>
          <w:color w:val="000000"/>
          <w:kern w:val="2"/>
          <w:sz w:val="24"/>
        </w:rPr>
        <w:t xml:space="preserve">]. </w:t>
      </w:r>
      <w:r>
        <w:rPr>
          <w:rFonts w:hint="default" w:ascii="宋体" w:hAnsi="宋体" w:eastAsia="宋体" w:cs="Times New Roman"/>
          <w:color w:val="000000"/>
          <w:spacing w:val="-2"/>
          <w:kern w:val="2"/>
          <w:sz w:val="24"/>
        </w:rPr>
        <w:t>湖北:</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中华建设</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2022</w:t>
      </w:r>
      <w:r>
        <w:rPr>
          <w:rFonts w:hint="eastAsia" w:ascii="宋体" w:hAnsi="宋体" w:eastAsia="宋体" w:cs="Times New Roman"/>
          <w:color w:val="000000"/>
          <w:spacing w:val="-2"/>
          <w:kern w:val="2"/>
          <w:sz w:val="24"/>
          <w:lang w:val="en-US" w:eastAsia="zh-CN"/>
        </w:rPr>
        <w:t xml:space="preserve">, </w:t>
      </w:r>
      <w:r>
        <w:rPr>
          <w:rFonts w:ascii="宋体" w:hAnsi="宋体" w:eastAsia="宋体" w:cs="Times New Roman"/>
          <w:kern w:val="2"/>
          <w:sz w:val="24"/>
          <w:szCs w:val="24"/>
        </w:rPr>
        <w:t>39(18):</w:t>
      </w:r>
      <w:r>
        <w:rPr>
          <w:rFonts w:hint="eastAsia" w:ascii="宋体" w:hAnsi="宋体" w:eastAsia="宋体" w:cs="Times New Roman"/>
          <w:kern w:val="2"/>
          <w:sz w:val="24"/>
          <w:szCs w:val="24"/>
          <w:lang w:val="en-US" w:eastAsia="zh-CN"/>
        </w:rPr>
        <w:t xml:space="preserve"> </w:t>
      </w:r>
      <w:r>
        <w:rPr>
          <w:rFonts w:ascii="宋体" w:hAnsi="宋体" w:eastAsia="宋体" w:cs="Times New Roman"/>
          <w:kern w:val="2"/>
          <w:sz w:val="24"/>
          <w:szCs w:val="24"/>
        </w:rPr>
        <w:t>68-70</w:t>
      </w:r>
      <w:r>
        <w:rPr>
          <w:rFonts w:hint="eastAsia" w:ascii="宋体" w:hAnsi="宋体" w:eastAsia="宋体" w:cs="Times New Roman"/>
          <w:kern w:val="2"/>
          <w:sz w:val="24"/>
          <w:szCs w:val="24"/>
          <w:lang w:val="en-US" w:eastAsia="zh-CN"/>
        </w:rPr>
        <w:t>.</w:t>
      </w:r>
    </w:p>
    <w:p w14:paraId="645C3AD7">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kern w:val="2"/>
          <w:sz w:val="24"/>
        </w:rPr>
      </w:pPr>
      <w:r>
        <w:rPr>
          <w:rFonts w:hint="default" w:ascii="宋体" w:hAnsi="宋体" w:eastAsia="宋体" w:cs="Times New Roman"/>
          <w:color w:val="000000"/>
          <w:spacing w:val="-2"/>
          <w:kern w:val="2"/>
          <w:sz w:val="24"/>
        </w:rPr>
        <w:t>胡玉洁</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关珲.</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基于《绿色建筑评价标准》的建筑设计模式探讨[J].</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湖北:</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中华建设</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spacing w:val="-2"/>
          <w:kern w:val="2"/>
          <w:sz w:val="24"/>
          <w:lang w:val="en-US" w:eastAsia="zh-CN"/>
        </w:rPr>
        <w:t xml:space="preserve"> </w:t>
      </w:r>
      <w:r>
        <w:rPr>
          <w:rFonts w:hint="default" w:ascii="宋体" w:hAnsi="宋体" w:eastAsia="宋体" w:cs="Times New Roman"/>
          <w:color w:val="000000"/>
          <w:spacing w:val="-2"/>
          <w:kern w:val="2"/>
          <w:sz w:val="24"/>
        </w:rPr>
        <w:t>2020</w:t>
      </w:r>
      <w:r>
        <w:rPr>
          <w:rFonts w:hint="default" w:ascii="宋体" w:hAnsi="宋体" w:eastAsia="宋体" w:cs="Times New Roman"/>
          <w:color w:val="000000"/>
          <w:spacing w:val="-2"/>
          <w:kern w:val="2"/>
          <w:sz w:val="24"/>
          <w:lang w:val="en-US" w:eastAsia="zh-CN"/>
        </w:rPr>
        <w:t xml:space="preserve">, </w:t>
      </w:r>
      <w:r>
        <w:rPr>
          <w:rFonts w:ascii="宋体" w:hAnsi="宋体" w:eastAsia="宋体" w:cs="Times New Roman"/>
          <w:kern w:val="2"/>
          <w:sz w:val="24"/>
          <w:szCs w:val="24"/>
        </w:rPr>
        <w:t>(11): 124-125.</w:t>
      </w:r>
    </w:p>
    <w:p w14:paraId="74439D20">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kern w:val="2"/>
          <w:sz w:val="24"/>
        </w:rPr>
      </w:pPr>
      <w:r>
        <w:rPr>
          <w:rFonts w:hint="default" w:ascii="宋体" w:hAnsi="宋体" w:eastAsia="宋体" w:cs="Times New Roman"/>
          <w:color w:val="000000"/>
          <w:kern w:val="2"/>
          <w:sz w:val="24"/>
        </w:rPr>
        <w:t>JGJ/26-2018</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严寒和寒冷地区居住建筑节能设计标准[S]. 北京: 中国建筑工业出版社</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2018.</w:t>
      </w:r>
    </w:p>
    <w:p w14:paraId="6435D411">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kern w:val="2"/>
          <w:sz w:val="24"/>
        </w:rPr>
      </w:pPr>
      <w:r>
        <w:rPr>
          <w:rFonts w:hint="default" w:ascii="宋体" w:hAnsi="宋体" w:eastAsia="宋体" w:cs="Times New Roman"/>
          <w:color w:val="000000"/>
          <w:kern w:val="2"/>
          <w:sz w:val="24"/>
        </w:rPr>
        <w:t>GB50176-20</w:t>
      </w:r>
      <w:r>
        <w:rPr>
          <w:rFonts w:hint="eastAsia" w:ascii="宋体" w:hAnsi="宋体" w:eastAsia="宋体" w:cs="Times New Roman"/>
          <w:color w:val="000000"/>
          <w:kern w:val="2"/>
          <w:sz w:val="24"/>
          <w:lang w:val="en-US" w:eastAsia="zh-CN"/>
        </w:rPr>
        <w:t>23</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民用建筑热工设计规范[S]. 北京: 中国建筑工业出版社</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20</w:t>
      </w:r>
      <w:r>
        <w:rPr>
          <w:rFonts w:hint="eastAsia" w:ascii="宋体" w:hAnsi="宋体" w:eastAsia="宋体" w:cs="Times New Roman"/>
          <w:color w:val="000000"/>
          <w:kern w:val="2"/>
          <w:sz w:val="24"/>
          <w:lang w:val="en-US" w:eastAsia="zh-CN"/>
        </w:rPr>
        <w:t>23.</w:t>
      </w:r>
    </w:p>
    <w:p w14:paraId="16C2E5D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kern w:val="2"/>
          <w:sz w:val="24"/>
        </w:rPr>
      </w:pPr>
      <w:r>
        <w:rPr>
          <w:rFonts w:hint="default" w:ascii="宋体" w:hAnsi="宋体" w:eastAsia="宋体" w:cs="Times New Roman"/>
          <w:color w:val="000000"/>
          <w:kern w:val="2"/>
          <w:sz w:val="24"/>
          <w:szCs w:val="22"/>
        </w:rPr>
        <w:t>GB50736-20</w:t>
      </w:r>
      <w:r>
        <w:rPr>
          <w:rFonts w:hint="eastAsia" w:ascii="宋体" w:hAnsi="宋体" w:eastAsia="宋体" w:cs="Times New Roman"/>
          <w:color w:val="000000"/>
          <w:kern w:val="2"/>
          <w:sz w:val="24"/>
          <w:szCs w:val="22"/>
          <w:lang w:val="en-US" w:eastAsia="zh-CN"/>
        </w:rPr>
        <w:t>23</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szCs w:val="22"/>
        </w:rPr>
        <w:t xml:space="preserve"> </w:t>
      </w:r>
      <w:r>
        <w:rPr>
          <w:rFonts w:hint="default" w:ascii="宋体" w:hAnsi="宋体" w:eastAsia="宋体" w:cs="Times New Roman"/>
          <w:color w:val="000000"/>
          <w:kern w:val="2"/>
          <w:sz w:val="24"/>
        </w:rPr>
        <w:t>民用建筑供暖通风与空气调节设计规范[S]. 北京: 中国建筑工业出版社</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202</w:t>
      </w:r>
      <w:r>
        <w:rPr>
          <w:rFonts w:hint="eastAsia" w:ascii="宋体" w:hAnsi="宋体" w:eastAsia="宋体" w:cs="Times New Roman"/>
          <w:color w:val="000000"/>
          <w:kern w:val="2"/>
          <w:sz w:val="24"/>
          <w:lang w:val="en-US" w:eastAsia="zh-CN"/>
        </w:rPr>
        <w:t>3.</w:t>
      </w:r>
    </w:p>
    <w:p w14:paraId="59C4151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kern w:val="2"/>
          <w:sz w:val="24"/>
        </w:rPr>
      </w:pPr>
      <w:r>
        <w:rPr>
          <w:rFonts w:hint="default" w:ascii="宋体" w:hAnsi="宋体" w:eastAsia="宋体" w:cs="Times New Roman"/>
          <w:color w:val="000000"/>
          <w:kern w:val="2"/>
          <w:sz w:val="24"/>
          <w:szCs w:val="22"/>
        </w:rPr>
        <w:t>JGJ286-2013</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szCs w:val="22"/>
        </w:rPr>
        <w:t xml:space="preserve"> 城市居住区热环境设计标准</w:t>
      </w:r>
      <w:r>
        <w:rPr>
          <w:rFonts w:hint="default" w:ascii="宋体" w:hAnsi="宋体" w:eastAsia="宋体" w:cs="Times New Roman"/>
          <w:color w:val="000000"/>
          <w:kern w:val="2"/>
          <w:sz w:val="24"/>
        </w:rPr>
        <w:t xml:space="preserve">[S]. 北京: </w:t>
      </w:r>
      <w:r>
        <w:rPr>
          <w:rFonts w:hint="default" w:ascii="宋体" w:hAnsi="宋体" w:eastAsia="宋体" w:cs="Times New Roman"/>
          <w:color w:val="000000"/>
          <w:kern w:val="2"/>
          <w:sz w:val="24"/>
          <w:szCs w:val="22"/>
        </w:rPr>
        <w:t>中国建筑工业出版社出版发行</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w:t>
      </w:r>
      <w:r>
        <w:rPr>
          <w:rFonts w:hint="default" w:ascii="宋体" w:hAnsi="宋体" w:eastAsia="宋体" w:cs="Times New Roman"/>
          <w:color w:val="000000"/>
          <w:kern w:val="2"/>
          <w:sz w:val="24"/>
          <w:szCs w:val="22"/>
        </w:rPr>
        <w:t>2014.</w:t>
      </w:r>
    </w:p>
    <w:p w14:paraId="3ADB3D9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kern w:val="2"/>
          <w:sz w:val="24"/>
        </w:rPr>
      </w:pPr>
      <w:r>
        <w:rPr>
          <w:rFonts w:hint="eastAsia" w:ascii="宋体" w:hAnsi="宋体" w:cs="Times New Roman"/>
          <w:color w:val="000000"/>
          <w:kern w:val="2"/>
          <w:sz w:val="24"/>
          <w:lang w:eastAsia="zh-CN"/>
        </w:rPr>
        <w:t>《绿色建筑评价标准》GB/T 50378-2019（2024年版）</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绿色建筑评价标准[S]. 北京: 中国建筑工业出版社</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20</w:t>
      </w:r>
      <w:r>
        <w:rPr>
          <w:rFonts w:hint="eastAsia" w:ascii="宋体" w:hAnsi="宋体" w:eastAsia="宋体" w:cs="Times New Roman"/>
          <w:color w:val="000000"/>
          <w:kern w:val="2"/>
          <w:sz w:val="24"/>
          <w:lang w:val="en-US" w:eastAsia="zh-CN"/>
        </w:rPr>
        <w:t>24</w:t>
      </w:r>
      <w:r>
        <w:rPr>
          <w:rFonts w:hint="default" w:ascii="宋体" w:hAnsi="宋体" w:eastAsia="宋体" w:cs="Times New Roman"/>
          <w:color w:val="000000"/>
          <w:kern w:val="2"/>
          <w:sz w:val="24"/>
        </w:rPr>
        <w:t>.</w:t>
      </w:r>
    </w:p>
    <w:p w14:paraId="563F4CF8">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kern w:val="2"/>
          <w:sz w:val="24"/>
        </w:rPr>
      </w:pPr>
      <w:r>
        <w:rPr>
          <w:rFonts w:hint="default" w:ascii="宋体" w:hAnsi="宋体" w:eastAsia="宋体" w:cs="Times New Roman"/>
          <w:color w:val="000000"/>
          <w:kern w:val="2"/>
          <w:sz w:val="24"/>
        </w:rPr>
        <w:t>JGJ/T 163-2008</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城市夜景照明设计规范[S]. 北京: 中国建筑工业出版社</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2009.</w:t>
      </w:r>
    </w:p>
    <w:p w14:paraId="2DA5D12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default" w:ascii="宋体" w:hAnsi="宋体" w:eastAsia="宋体" w:cs="Times New Roman"/>
          <w:color w:val="000000"/>
          <w:kern w:val="2"/>
          <w:sz w:val="24"/>
        </w:rPr>
      </w:pPr>
      <w:r>
        <w:rPr>
          <w:rFonts w:hint="default" w:ascii="宋体" w:hAnsi="宋体" w:eastAsia="宋体" w:cs="Times New Roman"/>
          <w:color w:val="000000"/>
          <w:kern w:val="2"/>
          <w:sz w:val="24"/>
        </w:rPr>
        <w:t>GB/T 35626-2017</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室外照明干扰光限值规范[S]. 北京: 中国标准出版社</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2018.</w:t>
      </w:r>
    </w:p>
    <w:p w14:paraId="64FE163E">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ascii="宋体" w:hAnsi="宋体" w:eastAsia="宋体" w:cs="Times New Roman"/>
          <w:kern w:val="2"/>
          <w:sz w:val="24"/>
        </w:rPr>
      </w:pPr>
      <w:r>
        <w:rPr>
          <w:rFonts w:hint="default" w:ascii="宋体" w:hAnsi="宋体" w:eastAsia="宋体" w:cs="Times New Roman"/>
          <w:color w:val="000000"/>
          <w:kern w:val="2"/>
          <w:sz w:val="24"/>
        </w:rPr>
        <w:t>GB/T 50785-2012</w:t>
      </w:r>
      <w:bookmarkStart w:id="112" w:name="_Hlk13496340"/>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民用建筑室内热湿环境评价标准</w:t>
      </w:r>
      <w:bookmarkEnd w:id="112"/>
      <w:r>
        <w:rPr>
          <w:rFonts w:hint="default" w:ascii="宋体" w:hAnsi="宋体" w:eastAsia="宋体" w:cs="Times New Roman"/>
          <w:color w:val="000000"/>
          <w:kern w:val="2"/>
          <w:sz w:val="24"/>
        </w:rPr>
        <w:t>[S].</w:t>
      </w:r>
      <w:r>
        <w:rPr>
          <w:rFonts w:hint="eastAsia" w:ascii="宋体" w:hAnsi="宋体" w:eastAsia="宋体" w:cs="Times New Roman"/>
          <w:color w:val="000000"/>
          <w:kern w:val="2"/>
          <w:sz w:val="24"/>
          <w:lang w:val="en-US" w:eastAsia="zh-CN"/>
        </w:rPr>
        <w:t xml:space="preserve"> </w:t>
      </w:r>
      <w:r>
        <w:rPr>
          <w:rFonts w:hint="default" w:ascii="宋体" w:hAnsi="宋体" w:eastAsia="宋体" w:cs="Times New Roman"/>
          <w:color w:val="000000"/>
          <w:kern w:val="2"/>
          <w:sz w:val="24"/>
        </w:rPr>
        <w:t>北京: 中国标准出版社</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2012.</w:t>
      </w:r>
    </w:p>
    <w:p w14:paraId="2C47081B">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ascii="宋体" w:hAnsi="宋体" w:eastAsia="宋体" w:cs="Times New Roman"/>
          <w:kern w:val="2"/>
          <w:sz w:val="24"/>
        </w:rPr>
      </w:pPr>
      <w:r>
        <w:rPr>
          <w:rFonts w:hint="default" w:ascii="宋体" w:hAnsi="宋体" w:eastAsia="宋体" w:cs="Times New Roman"/>
          <w:color w:val="000000"/>
          <w:kern w:val="2"/>
          <w:sz w:val="24"/>
        </w:rPr>
        <w:t>GB/T 18883-2022</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室内空气质量标准室内空气质量标准[S]. 北京: 中国标准出版社</w:t>
      </w:r>
      <w:r>
        <w:rPr>
          <w:rFonts w:hint="eastAsia" w:ascii="宋体" w:hAnsi="宋体" w:eastAsia="宋体" w:cs="宋体"/>
          <w:color w:val="000000"/>
          <w:kern w:val="2"/>
          <w:sz w:val="24"/>
          <w:lang w:val="en-US" w:eastAsia="zh-CN"/>
        </w:rPr>
        <w:t>,</w:t>
      </w:r>
      <w:r>
        <w:rPr>
          <w:rFonts w:hint="default" w:ascii="宋体" w:hAnsi="宋体" w:eastAsia="宋体" w:cs="Times New Roman"/>
          <w:color w:val="000000"/>
          <w:kern w:val="2"/>
          <w:sz w:val="24"/>
        </w:rPr>
        <w:t xml:space="preserve"> 2022.</w:t>
      </w:r>
    </w:p>
    <w:p w14:paraId="286ECAE4">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Times New Roman"/>
          <w:color w:val="000000"/>
          <w:kern w:val="2"/>
          <w:sz w:val="24"/>
          <w:lang w:eastAsia="zh-CN"/>
        </w:rPr>
      </w:pPr>
      <w:r>
        <w:rPr>
          <w:rFonts w:hint="eastAsia" w:ascii="宋体" w:hAnsi="宋体" w:eastAsia="宋体" w:cs="Times New Roman"/>
          <w:color w:val="000000"/>
          <w:kern w:val="2"/>
          <w:sz w:val="24"/>
          <w:lang w:eastAsia="zh-CN"/>
        </w:rPr>
        <w:t>GB50325-2020，用建筑工程室内环境污染控制规范[S].</w:t>
      </w:r>
      <w:r>
        <w:rPr>
          <w:rFonts w:hint="eastAsia" w:ascii="宋体" w:hAnsi="宋体" w:eastAsia="宋体" w:cs="Times New Roman"/>
          <w:color w:val="000000"/>
          <w:kern w:val="2"/>
          <w:sz w:val="24"/>
          <w:lang w:val="en-US" w:eastAsia="zh-CN"/>
        </w:rPr>
        <w:t xml:space="preserve"> </w:t>
      </w:r>
      <w:r>
        <w:rPr>
          <w:rFonts w:hint="eastAsia" w:ascii="宋体" w:hAnsi="宋体" w:eastAsia="宋体" w:cs="Times New Roman"/>
          <w:color w:val="000000"/>
          <w:kern w:val="2"/>
          <w:sz w:val="24"/>
          <w:lang w:eastAsia="zh-CN"/>
        </w:rPr>
        <w:t>北京：中国计划出版社，2020.</w:t>
      </w:r>
    </w:p>
    <w:p w14:paraId="37B24291">
      <w:pPr>
        <w:spacing w:line="720" w:lineRule="auto"/>
        <w:jc w:val="center"/>
        <w:outlineLvl w:val="0"/>
        <w:rPr>
          <w:rFonts w:hint="eastAsia" w:ascii="宋体" w:hAnsi="宋体" w:eastAsia="宋体" w:cs="宋体"/>
          <w:b/>
          <w:bCs/>
          <w:spacing w:val="1"/>
          <w:sz w:val="32"/>
          <w:szCs w:val="32"/>
          <w:lang w:eastAsia="zh-CN"/>
        </w:rPr>
        <w:sectPr>
          <w:footerReference r:id="rId18" w:type="default"/>
          <w:pgSz w:w="11906" w:h="16838"/>
          <w:pgMar w:top="1417" w:right="1417" w:bottom="1417" w:left="1417" w:header="851" w:footer="850" w:gutter="283"/>
          <w:cols w:space="0" w:num="1"/>
          <w:docGrid w:type="lines" w:linePitch="312" w:charSpace="0"/>
        </w:sectPr>
      </w:pPr>
    </w:p>
    <w:p w14:paraId="2EE3351C">
      <w:pPr>
        <w:widowControl w:val="0"/>
        <w:spacing w:line="720" w:lineRule="auto"/>
        <w:jc w:val="center"/>
        <w:outlineLvl w:val="0"/>
        <w:rPr>
          <w:rFonts w:hint="eastAsia" w:ascii="宋体" w:hAnsi="宋体" w:eastAsia="宋体" w:cs="宋体"/>
          <w:b/>
          <w:bCs/>
          <w:kern w:val="2"/>
          <w:sz w:val="32"/>
          <w:szCs w:val="32"/>
          <w:lang w:val="en-US" w:eastAsia="zh-CN" w:bidi="ar-SA"/>
        </w:rPr>
      </w:pPr>
      <w:bookmarkStart w:id="113" w:name="_Toc24473"/>
      <w:r>
        <w:rPr>
          <w:rFonts w:hint="eastAsia" w:ascii="宋体" w:hAnsi="宋体" w:eastAsia="宋体" w:cs="宋体"/>
          <w:b/>
          <w:bCs/>
          <w:kern w:val="2"/>
          <w:sz w:val="32"/>
          <w:szCs w:val="32"/>
          <w:lang w:val="en-US" w:eastAsia="zh-CN" w:bidi="ar-SA"/>
        </w:rPr>
        <w:t>附</w:t>
      </w:r>
      <w:r>
        <w:rPr>
          <w:rFonts w:hint="eastAsia" w:ascii="宋体" w:hAnsi="宋体" w:eastAsia="宋体" w:cs="宋体"/>
          <w:b/>
          <w:bCs/>
          <w:spacing w:val="82"/>
          <w:kern w:val="2"/>
          <w:sz w:val="32"/>
          <w:szCs w:val="32"/>
          <w:lang w:val="en-US" w:eastAsia="zh-CN" w:bidi="ar-SA"/>
        </w:rPr>
        <w:t xml:space="preserve">  </w:t>
      </w:r>
      <w:r>
        <w:rPr>
          <w:rFonts w:hint="eastAsia" w:ascii="宋体" w:hAnsi="宋体" w:eastAsia="宋体" w:cs="宋体"/>
          <w:b/>
          <w:bCs/>
          <w:kern w:val="2"/>
          <w:sz w:val="32"/>
          <w:szCs w:val="32"/>
          <w:lang w:val="en-US" w:eastAsia="zh-CN" w:bidi="ar-SA"/>
        </w:rPr>
        <w:t>录</w:t>
      </w:r>
      <w:bookmarkEnd w:id="113"/>
    </w:p>
    <w:p w14:paraId="2CB19471">
      <w:pPr>
        <w:rPr>
          <w:rFonts w:ascii="宋体" w:hAnsi="宋体"/>
        </w:rPr>
      </w:pPr>
    </w:p>
    <w:sectPr>
      <w:pgSz w:w="11906" w:h="16838"/>
      <w:pgMar w:top="1417" w:right="1417" w:bottom="1417" w:left="1417" w:header="851" w:footer="850" w:gutter="283"/>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华文细黑">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KSOFF9CC6125">
    <w:panose1 w:val="020106090601010101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2065C">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735FD">
    <w:pPr>
      <w:pStyle w:val="14"/>
      <w:jc w:val="center"/>
      <w:rPr>
        <w:rFonts w:ascii="宋体" w:hAnsi="宋体"/>
      </w:rPr>
    </w:pPr>
    <w:r>
      <w:rPr>
        <w:rFonts w:ascii="宋体" w:hAnsi="宋体"/>
      </w:rPr>
      <w:t xml:space="preserve"> </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I</w:t>
    </w:r>
    <w:r>
      <w:rPr>
        <w:rFonts w:ascii="宋体" w:hAnsi="宋体"/>
      </w:rPr>
      <w:fldChar w:fldCharType="end"/>
    </w:r>
    <w:r>
      <w:rPr>
        <w:rFonts w:ascii="宋体" w:hAnsi="宋体"/>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F9169">
    <w:pPr>
      <w:pStyle w:val="14"/>
      <w:jc w:val="center"/>
      <w:rPr>
        <w:rFonts w:hint="eastAsia" w:ascii="宋体" w:hAnsi="宋体"/>
      </w:rPr>
    </w:pPr>
    <w:r>
      <w:rPr>
        <w:rFonts w:ascii="宋体" w:hAnsi="宋体"/>
      </w:rPr>
      <w:t xml:space="preserve">- </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II</w:t>
    </w:r>
    <w:r>
      <w:rPr>
        <w:rFonts w:ascii="宋体" w:hAnsi="宋体"/>
      </w:rPr>
      <w:fldChar w:fldCharType="end"/>
    </w:r>
    <w:r>
      <w:rPr>
        <w:rFonts w:ascii="宋体" w:hAnsi="宋体"/>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26179">
    <w:pPr>
      <w:pStyle w:val="1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CD720">
    <w:pPr>
      <w:pStyle w:val="14"/>
      <w:jc w:val="center"/>
      <w:rPr>
        <w:rFonts w:hint="eastAsia" w:ascii="宋体" w:hAnsi="宋体"/>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4B0978">
                          <w:pPr>
                            <w:pStyle w:val="14"/>
                            <w:jc w:val="center"/>
                            <w:rPr>
                              <w:rFonts w:ascii="宋体" w:hAnsi="宋体"/>
                            </w:rPr>
                          </w:pPr>
                          <w:r>
                            <w:rPr>
                              <w:rFonts w:ascii="宋体" w:hAnsi="宋体"/>
                            </w:rPr>
                            <w:t xml:space="preserve"> </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IV</w:t>
                          </w:r>
                          <w:r>
                            <w:rPr>
                              <w:rFonts w:ascii="宋体" w:hAnsi="宋体"/>
                            </w:rPr>
                            <w:fldChar w:fldCharType="end"/>
                          </w:r>
                          <w:r>
                            <w:rPr>
                              <w:rFonts w:ascii="宋体" w:hAnsi="宋体"/>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44B0978">
                    <w:pPr>
                      <w:pStyle w:val="14"/>
                      <w:jc w:val="center"/>
                      <w:rPr>
                        <w:rFonts w:ascii="宋体" w:hAnsi="宋体"/>
                      </w:rPr>
                    </w:pPr>
                    <w:r>
                      <w:rPr>
                        <w:rFonts w:ascii="宋体" w:hAnsi="宋体"/>
                      </w:rPr>
                      <w:t xml:space="preserve"> </w:t>
                    </w:r>
                    <w:r>
                      <w:rPr>
                        <w:rFonts w:ascii="宋体" w:hAnsi="宋体"/>
                      </w:rPr>
                      <w:fldChar w:fldCharType="begin"/>
                    </w:r>
                    <w:r>
                      <w:rPr>
                        <w:rFonts w:ascii="宋体" w:hAnsi="宋体"/>
                      </w:rPr>
                      <w:instrText xml:space="preserve"> PAGE </w:instrText>
                    </w:r>
                    <w:r>
                      <w:rPr>
                        <w:rFonts w:ascii="宋体" w:hAnsi="宋体"/>
                      </w:rPr>
                      <w:fldChar w:fldCharType="separate"/>
                    </w:r>
                    <w:r>
                      <w:rPr>
                        <w:rFonts w:ascii="宋体" w:hAnsi="宋体"/>
                      </w:rPr>
                      <w:t>IV</w:t>
                    </w:r>
                    <w:r>
                      <w:rPr>
                        <w:rFonts w:ascii="宋体" w:hAnsi="宋体"/>
                      </w:rPr>
                      <w:fldChar w:fldCharType="end"/>
                    </w:r>
                    <w:r>
                      <w:rPr>
                        <w:rFonts w:ascii="宋体" w:hAnsi="宋体"/>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C20D2">
    <w:pPr>
      <w:widowControl w:val="0"/>
      <w:snapToGrid w:val="0"/>
      <w:spacing w:line="400" w:lineRule="exact"/>
      <w:ind w:firstLine="360" w:firstLineChars="200"/>
      <w:jc w:val="center"/>
      <w:rPr>
        <w:rFonts w:ascii="宋体" w:hAnsi="宋体" w:eastAsia="宋体" w:cs="Times New Roman"/>
        <w:kern w:val="2"/>
        <w:sz w:val="18"/>
      </w:rPr>
    </w:pPr>
    <w:r>
      <w:rPr>
        <w:rFonts w:ascii="Times New Roman" w:hAnsi="Times New Roman" w:eastAsia="宋体" w:cs="Times New Roman"/>
        <w:kern w:val="2"/>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DA5EF">
                          <w:pPr>
                            <w:widowControl w:val="0"/>
                            <w:snapToGrid w:val="0"/>
                            <w:spacing w:line="400" w:lineRule="exact"/>
                            <w:ind w:firstLine="360" w:firstLineChars="200"/>
                            <w:jc w:val="left"/>
                            <w:rPr>
                              <w:rFonts w:ascii="Times New Roman" w:hAnsi="Times New Roman" w:eastAsia="宋体" w:cs="Times New Roman"/>
                              <w:kern w:val="2"/>
                              <w:sz w:val="18"/>
                            </w:rPr>
                          </w:pPr>
                          <w:r>
                            <w:rPr>
                              <w:rFonts w:hint="eastAsia" w:ascii="Times New Roman" w:hAnsi="Times New Roman" w:eastAsia="宋体" w:cs="Times New Roman"/>
                              <w:kern w:val="2"/>
                              <w:sz w:val="18"/>
                            </w:rPr>
                            <w:fldChar w:fldCharType="begin"/>
                          </w:r>
                          <w:r>
                            <w:rPr>
                              <w:rFonts w:hint="eastAsia" w:ascii="Times New Roman" w:hAnsi="Times New Roman" w:eastAsia="宋体" w:cs="Times New Roman"/>
                              <w:kern w:val="2"/>
                              <w:sz w:val="18"/>
                            </w:rPr>
                            <w:instrText xml:space="preserve"> PAGE  \* MERGEFORMAT </w:instrText>
                          </w:r>
                          <w:r>
                            <w:rPr>
                              <w:rFonts w:hint="eastAsia" w:ascii="Times New Roman" w:hAnsi="Times New Roman" w:eastAsia="宋体" w:cs="Times New Roman"/>
                              <w:kern w:val="2"/>
                              <w:sz w:val="18"/>
                            </w:rPr>
                            <w:fldChar w:fldCharType="separate"/>
                          </w:r>
                          <w:r>
                            <w:rPr>
                              <w:rFonts w:hint="eastAsia" w:ascii="Times New Roman" w:hAnsi="Times New Roman" w:eastAsia="宋体" w:cs="Times New Roman"/>
                              <w:kern w:val="2"/>
                              <w:sz w:val="18"/>
                            </w:rPr>
                            <w:t>4</w:t>
                          </w:r>
                          <w:r>
                            <w:rPr>
                              <w:rFonts w:hint="eastAsia" w:ascii="Times New Roman" w:hAnsi="Times New Roman" w:eastAsia="宋体" w:cs="Times New Roman"/>
                              <w:kern w:val="2"/>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BH5M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BH5MzAgAAZQQAAA4AAAAAAAAAAQAgAAAAHwEAAGRycy9lMm9Eb2MueG1sUEsF&#10;BgAAAAAGAAYAWQEAAMQFAAAAAA==&#10;">
              <v:fill on="f" focussize="0,0"/>
              <v:stroke on="f" weight="0.5pt"/>
              <v:imagedata o:title=""/>
              <o:lock v:ext="edit" aspectratio="f"/>
              <v:textbox inset="0mm,0mm,0mm,0mm" style="mso-fit-shape-to-text:t;">
                <w:txbxContent>
                  <w:p w14:paraId="760DA5EF">
                    <w:pPr>
                      <w:widowControl w:val="0"/>
                      <w:snapToGrid w:val="0"/>
                      <w:spacing w:line="400" w:lineRule="exact"/>
                      <w:ind w:firstLine="360" w:firstLineChars="200"/>
                      <w:jc w:val="left"/>
                      <w:rPr>
                        <w:rFonts w:ascii="Times New Roman" w:hAnsi="Times New Roman" w:eastAsia="宋体" w:cs="Times New Roman"/>
                        <w:kern w:val="2"/>
                        <w:sz w:val="18"/>
                      </w:rPr>
                    </w:pPr>
                    <w:r>
                      <w:rPr>
                        <w:rFonts w:hint="eastAsia" w:ascii="Times New Roman" w:hAnsi="Times New Roman" w:eastAsia="宋体" w:cs="Times New Roman"/>
                        <w:kern w:val="2"/>
                        <w:sz w:val="18"/>
                      </w:rPr>
                      <w:fldChar w:fldCharType="begin"/>
                    </w:r>
                    <w:r>
                      <w:rPr>
                        <w:rFonts w:hint="eastAsia" w:ascii="Times New Roman" w:hAnsi="Times New Roman" w:eastAsia="宋体" w:cs="Times New Roman"/>
                        <w:kern w:val="2"/>
                        <w:sz w:val="18"/>
                      </w:rPr>
                      <w:instrText xml:space="preserve"> PAGE  \* MERGEFORMAT </w:instrText>
                    </w:r>
                    <w:r>
                      <w:rPr>
                        <w:rFonts w:hint="eastAsia" w:ascii="Times New Roman" w:hAnsi="Times New Roman" w:eastAsia="宋体" w:cs="Times New Roman"/>
                        <w:kern w:val="2"/>
                        <w:sz w:val="18"/>
                      </w:rPr>
                      <w:fldChar w:fldCharType="separate"/>
                    </w:r>
                    <w:r>
                      <w:rPr>
                        <w:rFonts w:hint="eastAsia" w:ascii="Times New Roman" w:hAnsi="Times New Roman" w:eastAsia="宋体" w:cs="Times New Roman"/>
                        <w:kern w:val="2"/>
                        <w:sz w:val="18"/>
                      </w:rPr>
                      <w:t>4</w:t>
                    </w:r>
                    <w:r>
                      <w:rPr>
                        <w:rFonts w:hint="eastAsia" w:ascii="Times New Roman" w:hAnsi="Times New Roman" w:eastAsia="宋体" w:cs="Times New Roman"/>
                        <w:kern w:val="2"/>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4A812">
    <w:pPr>
      <w:widowControl w:val="0"/>
      <w:spacing w:line="158" w:lineRule="auto"/>
      <w:jc w:val="both"/>
      <w:rPr>
        <w:rFonts w:hint="eastAsia" w:ascii="微软雅黑" w:hAnsi="微软雅黑" w:eastAsia="微软雅黑" w:cs="微软雅黑"/>
        <w:kern w:val="2"/>
        <w:sz w:val="20"/>
        <w:szCs w:val="20"/>
        <w:lang w:val="en-US" w:eastAsia="en-US" w:bidi="ar-SA"/>
      </w:rPr>
    </w:pPr>
    <w:r>
      <w:rPr>
        <w:rFonts w:ascii="微软雅黑" w:hAnsi="微软雅黑" w:eastAsia="微软雅黑" w:cs="微软雅黑"/>
        <w:kern w:val="2"/>
        <w:sz w:val="20"/>
        <w:szCs w:val="28"/>
        <w:lang w:val="en-US" w:eastAsia="en-US"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2E607">
                          <w:pPr>
                            <w:widowControl w:val="0"/>
                            <w:tabs>
                              <w:tab w:val="center" w:pos="4153"/>
                              <w:tab w:val="right" w:pos="8306"/>
                            </w:tabs>
                            <w:snapToGrid w:val="0"/>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PAGE  \* MERGEFORMAT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3</w:t>
                          </w:r>
                          <w:r>
                            <w:rPr>
                              <w:rFonts w:ascii="Times New Roman" w:hAnsi="Times New Roman" w:eastAsia="宋体" w:cs="Times New Roman"/>
                              <w:kern w:val="2"/>
                              <w:sz w:val="21"/>
                              <w:szCs w:val="21"/>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QHf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C0B3xMQIAAGUEAAAOAAAAAAAAAAEAIAAAAB8BAABkcnMvZTJvRG9jLnhtbFBLBQYA&#10;AAAABgAGAFkBAADCBQAAAAA=&#10;">
              <v:fill on="f" focussize="0,0"/>
              <v:stroke on="f" weight="0.5pt"/>
              <v:imagedata o:title=""/>
              <o:lock v:ext="edit" aspectratio="f"/>
              <v:textbox inset="0mm,0mm,0mm,0mm" style="mso-fit-shape-to-text:t;">
                <w:txbxContent>
                  <w:p w14:paraId="5412E607">
                    <w:pPr>
                      <w:widowControl w:val="0"/>
                      <w:tabs>
                        <w:tab w:val="center" w:pos="4153"/>
                        <w:tab w:val="right" w:pos="8306"/>
                      </w:tabs>
                      <w:snapToGrid w:val="0"/>
                      <w:jc w:val="left"/>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fldChar w:fldCharType="begin"/>
                    </w:r>
                    <w:r>
                      <w:rPr>
                        <w:rFonts w:ascii="Times New Roman" w:hAnsi="Times New Roman" w:eastAsia="宋体" w:cs="Times New Roman"/>
                        <w:kern w:val="2"/>
                        <w:sz w:val="21"/>
                        <w:szCs w:val="21"/>
                        <w:lang w:val="en-US" w:eastAsia="zh-CN" w:bidi="ar-SA"/>
                      </w:rPr>
                      <w:instrText xml:space="preserve"> PAGE  \* MERGEFORMAT </w:instrText>
                    </w:r>
                    <w:r>
                      <w:rPr>
                        <w:rFonts w:ascii="Times New Roman" w:hAnsi="Times New Roman" w:eastAsia="宋体" w:cs="Times New Roman"/>
                        <w:kern w:val="2"/>
                        <w:sz w:val="21"/>
                        <w:szCs w:val="21"/>
                        <w:lang w:val="en-US" w:eastAsia="zh-CN" w:bidi="ar-SA"/>
                      </w:rPr>
                      <w:fldChar w:fldCharType="separate"/>
                    </w:r>
                    <w:r>
                      <w:rPr>
                        <w:rFonts w:ascii="Times New Roman" w:hAnsi="Times New Roman" w:eastAsia="宋体" w:cs="Times New Roman"/>
                        <w:kern w:val="2"/>
                        <w:sz w:val="21"/>
                        <w:szCs w:val="21"/>
                        <w:lang w:val="en-US" w:eastAsia="zh-CN" w:bidi="ar-SA"/>
                      </w:rPr>
                      <w:t>3</w:t>
                    </w:r>
                    <w:r>
                      <w:rPr>
                        <w:rFonts w:ascii="Times New Roman" w:hAnsi="Times New Roman" w:eastAsia="宋体" w:cs="Times New Roman"/>
                        <w:kern w:val="2"/>
                        <w:sz w:val="21"/>
                        <w:szCs w:val="21"/>
                        <w:lang w:val="en-US" w:eastAsia="zh-CN" w:bidi="ar-S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pPr>
      <w:r>
        <w:separator/>
      </w:r>
    </w:p>
  </w:footnote>
  <w:footnote w:type="continuationSeparator" w:id="1">
    <w:p>
      <w:pPr>
        <w:spacing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716E2">
    <w:pPr>
      <w:pStyle w:val="15"/>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690DE">
    <w:pPr>
      <w:pStyle w:val="15"/>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4E2DD">
    <w:pPr>
      <w:pStyle w:val="15"/>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29207">
    <w:pPr>
      <w:pStyle w:val="15"/>
      <w:pBdr>
        <w:bottom w:val="single" w:color="auto" w:sz="4" w:space="1"/>
      </w:pBdr>
      <w:rPr>
        <w:rFonts w:hint="eastAsia" w:eastAsia="宋体"/>
        <w:lang w:eastAsia="zh-CN"/>
      </w:rPr>
    </w:pPr>
    <w:r>
      <w:rPr>
        <w:rFonts w:hint="eastAsia"/>
        <w:lang w:eastAsia="zh-CN"/>
      </w:rPr>
      <w:t>安徽省安庆市宿松县程集中学教学楼节能改造方案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4DFBD">
    <w:pPr>
      <w:pStyle w:val="15"/>
    </w:pPr>
    <w:r>
      <w:rPr>
        <w:rFonts w:hint="eastAsia"/>
      </w:rPr>
      <w:t>大连理工大学毕业设计（论文）格式规范</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C2C95">
    <w:pPr>
      <w:pStyle w:val="1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CBD35">
    <w:pPr>
      <w:pStyle w:val="15"/>
      <w:pBdr>
        <w:bottom w:val="single" w:color="auto" w:sz="4" w:space="1"/>
      </w:pBdr>
      <w:rPr>
        <w:rFonts w:hint="eastAsia" w:eastAsia="宋体"/>
        <w:lang w:eastAsia="zh-CN"/>
      </w:rPr>
    </w:pPr>
    <w:r>
      <w:rPr>
        <w:rFonts w:hint="eastAsia"/>
        <w:lang w:eastAsia="zh-CN"/>
      </w:rPr>
      <w:t>安徽省安庆市宿松县程集中学教学楼节能改造方案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BBC9E6"/>
    <w:multiLevelType w:val="singleLevel"/>
    <w:tmpl w:val="A1BBC9E6"/>
    <w:lvl w:ilvl="0" w:tentative="0">
      <w:start w:val="2"/>
      <w:numFmt w:val="decimal"/>
      <w:suff w:val="nothing"/>
      <w:lvlText w:val="（%1）"/>
      <w:lvlJc w:val="left"/>
    </w:lvl>
  </w:abstractNum>
  <w:abstractNum w:abstractNumId="1">
    <w:nsid w:val="6F654FEF"/>
    <w:multiLevelType w:val="multilevel"/>
    <w:tmpl w:val="6F654FEF"/>
    <w:lvl w:ilvl="0" w:tentative="0">
      <w:start w:val="1"/>
      <w:numFmt w:val="chineseCounting"/>
      <w:suff w:val="nothing"/>
      <w:lvlText w:val="%1、"/>
      <w:lvlJc w:val="left"/>
      <w:pPr>
        <w:ind w:left="0" w:firstLine="0"/>
      </w:pPr>
      <w:rPr>
        <w:rFonts w:hint="eastAsia" w:ascii="宋体" w:hAnsi="宋体"/>
        <w:b/>
        <w:bCs/>
        <w:sz w:val="30"/>
        <w:szCs w:val="30"/>
      </w:rPr>
    </w:lvl>
    <w:lvl w:ilvl="1" w:tentative="0">
      <w:start w:val="1"/>
      <w:numFmt w:val="chineseCounting"/>
      <w:suff w:val="nothing"/>
      <w:lvlText w:val="（%2）"/>
      <w:lvlJc w:val="left"/>
      <w:pPr>
        <w:ind w:left="0" w:firstLine="0"/>
      </w:pPr>
      <w:rPr>
        <w:rFonts w:hint="eastAsia" w:ascii="宋体" w:hAnsi="宋体"/>
        <w:b/>
        <w:sz w:val="28"/>
      </w:rPr>
    </w:lvl>
    <w:lvl w:ilvl="2" w:tentative="0">
      <w:start w:val="1"/>
      <w:numFmt w:val="decimal"/>
      <w:suff w:val="nothing"/>
      <w:lvlText w:val="%3．"/>
      <w:lvlJc w:val="left"/>
      <w:pPr>
        <w:ind w:left="0" w:firstLine="400"/>
      </w:pPr>
      <w:rPr>
        <w:rFonts w:hint="default" w:ascii="宋体" w:hAnsi="宋体"/>
        <w:b/>
        <w:sz w:val="24"/>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7AEC05FA"/>
    <w:multiLevelType w:val="singleLevel"/>
    <w:tmpl w:val="7AEC05FA"/>
    <w:lvl w:ilvl="0" w:tentative="0">
      <w:start w:val="1"/>
      <w:numFmt w:val="decimal"/>
      <w:suff w:val="space"/>
      <w:lvlText w:val="[%1]"/>
      <w:lvlJc w:val="left"/>
      <w:rPr>
        <w:rFonts w:hint="default" w:ascii="Times New Roman" w:hAnsi="Times New Roman"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NotTrackMoves/>
  <w:attachedTemplate r:id="rId1"/>
  <w:documentProtection w:enforcement="0"/>
  <w:defaultTabStop w:val="420"/>
  <w:drawingGridHorizontalSpacing w:val="2"/>
  <w:drawingGridVerticalSpacing w:val="2"/>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429"/>
    <w:rsid w:val="0000539D"/>
    <w:rsid w:val="00015216"/>
    <w:rsid w:val="00022EEB"/>
    <w:rsid w:val="000265A0"/>
    <w:rsid w:val="00026B0C"/>
    <w:rsid w:val="00031363"/>
    <w:rsid w:val="00031563"/>
    <w:rsid w:val="000402E7"/>
    <w:rsid w:val="00041DCE"/>
    <w:rsid w:val="00050265"/>
    <w:rsid w:val="00052596"/>
    <w:rsid w:val="00060622"/>
    <w:rsid w:val="00063C50"/>
    <w:rsid w:val="000650C7"/>
    <w:rsid w:val="00067CA5"/>
    <w:rsid w:val="0007267C"/>
    <w:rsid w:val="0007376F"/>
    <w:rsid w:val="00073C5B"/>
    <w:rsid w:val="00076C21"/>
    <w:rsid w:val="00080A31"/>
    <w:rsid w:val="00093572"/>
    <w:rsid w:val="000A1220"/>
    <w:rsid w:val="000A18BC"/>
    <w:rsid w:val="000A548C"/>
    <w:rsid w:val="000B0DB2"/>
    <w:rsid w:val="000B419C"/>
    <w:rsid w:val="000B7870"/>
    <w:rsid w:val="000E52D0"/>
    <w:rsid w:val="000F0F05"/>
    <w:rsid w:val="000F7A2A"/>
    <w:rsid w:val="000F7FD7"/>
    <w:rsid w:val="00106A9C"/>
    <w:rsid w:val="001136EC"/>
    <w:rsid w:val="001145AD"/>
    <w:rsid w:val="001151CF"/>
    <w:rsid w:val="00115FCC"/>
    <w:rsid w:val="00122CCE"/>
    <w:rsid w:val="0012466E"/>
    <w:rsid w:val="0013060A"/>
    <w:rsid w:val="00141AC5"/>
    <w:rsid w:val="00151A15"/>
    <w:rsid w:val="001520B6"/>
    <w:rsid w:val="00155B98"/>
    <w:rsid w:val="001603BA"/>
    <w:rsid w:val="001614B6"/>
    <w:rsid w:val="00167189"/>
    <w:rsid w:val="00175670"/>
    <w:rsid w:val="00186172"/>
    <w:rsid w:val="00187308"/>
    <w:rsid w:val="00195717"/>
    <w:rsid w:val="001973E4"/>
    <w:rsid w:val="001A00B5"/>
    <w:rsid w:val="001A56D0"/>
    <w:rsid w:val="001A6DD1"/>
    <w:rsid w:val="001A753E"/>
    <w:rsid w:val="001B35AF"/>
    <w:rsid w:val="001C7552"/>
    <w:rsid w:val="001D21BE"/>
    <w:rsid w:val="001D4C91"/>
    <w:rsid w:val="001D7DEF"/>
    <w:rsid w:val="001E37FE"/>
    <w:rsid w:val="001E491F"/>
    <w:rsid w:val="001F207C"/>
    <w:rsid w:val="001F2C73"/>
    <w:rsid w:val="0020133F"/>
    <w:rsid w:val="00206D2E"/>
    <w:rsid w:val="00214606"/>
    <w:rsid w:val="0021465A"/>
    <w:rsid w:val="00220CA1"/>
    <w:rsid w:val="00222619"/>
    <w:rsid w:val="00222BF6"/>
    <w:rsid w:val="00226D7C"/>
    <w:rsid w:val="00234B8A"/>
    <w:rsid w:val="00237C70"/>
    <w:rsid w:val="00240133"/>
    <w:rsid w:val="0024551E"/>
    <w:rsid w:val="00251ABC"/>
    <w:rsid w:val="002528F4"/>
    <w:rsid w:val="00256337"/>
    <w:rsid w:val="00256989"/>
    <w:rsid w:val="00260DBB"/>
    <w:rsid w:val="00265D27"/>
    <w:rsid w:val="00276FD3"/>
    <w:rsid w:val="00283FF0"/>
    <w:rsid w:val="00297184"/>
    <w:rsid w:val="002A0209"/>
    <w:rsid w:val="002B060D"/>
    <w:rsid w:val="002B08C7"/>
    <w:rsid w:val="002B5998"/>
    <w:rsid w:val="002B7645"/>
    <w:rsid w:val="002C6B6F"/>
    <w:rsid w:val="002D7BD6"/>
    <w:rsid w:val="002E76E8"/>
    <w:rsid w:val="002F4E92"/>
    <w:rsid w:val="00311753"/>
    <w:rsid w:val="00312E1C"/>
    <w:rsid w:val="00313098"/>
    <w:rsid w:val="00336DE3"/>
    <w:rsid w:val="00337E59"/>
    <w:rsid w:val="00344A37"/>
    <w:rsid w:val="00361DBE"/>
    <w:rsid w:val="00371421"/>
    <w:rsid w:val="00371AC6"/>
    <w:rsid w:val="00372253"/>
    <w:rsid w:val="003767AC"/>
    <w:rsid w:val="00386767"/>
    <w:rsid w:val="003A222D"/>
    <w:rsid w:val="003A3E60"/>
    <w:rsid w:val="003A7A11"/>
    <w:rsid w:val="003B034D"/>
    <w:rsid w:val="003B148A"/>
    <w:rsid w:val="003B26E0"/>
    <w:rsid w:val="003B4742"/>
    <w:rsid w:val="003B6429"/>
    <w:rsid w:val="003C1E11"/>
    <w:rsid w:val="003C3BEB"/>
    <w:rsid w:val="003C454E"/>
    <w:rsid w:val="003C6A20"/>
    <w:rsid w:val="003C736F"/>
    <w:rsid w:val="003D3B2A"/>
    <w:rsid w:val="003E207C"/>
    <w:rsid w:val="003E25F1"/>
    <w:rsid w:val="003E4509"/>
    <w:rsid w:val="003E5C1E"/>
    <w:rsid w:val="003F1F07"/>
    <w:rsid w:val="003F3F8E"/>
    <w:rsid w:val="003F4D69"/>
    <w:rsid w:val="003F59E9"/>
    <w:rsid w:val="003F6615"/>
    <w:rsid w:val="004014FB"/>
    <w:rsid w:val="00424D51"/>
    <w:rsid w:val="00435D73"/>
    <w:rsid w:val="0044097B"/>
    <w:rsid w:val="00441882"/>
    <w:rsid w:val="004421A6"/>
    <w:rsid w:val="004654F4"/>
    <w:rsid w:val="0047521F"/>
    <w:rsid w:val="00475690"/>
    <w:rsid w:val="00475B5F"/>
    <w:rsid w:val="004775CE"/>
    <w:rsid w:val="00482B84"/>
    <w:rsid w:val="00483627"/>
    <w:rsid w:val="004873CE"/>
    <w:rsid w:val="004B22BB"/>
    <w:rsid w:val="004C59AC"/>
    <w:rsid w:val="004D262C"/>
    <w:rsid w:val="004E017A"/>
    <w:rsid w:val="004E6AF9"/>
    <w:rsid w:val="00500FD1"/>
    <w:rsid w:val="005018E9"/>
    <w:rsid w:val="00505E82"/>
    <w:rsid w:val="00516099"/>
    <w:rsid w:val="00517E3A"/>
    <w:rsid w:val="0052389A"/>
    <w:rsid w:val="00534320"/>
    <w:rsid w:val="0053613E"/>
    <w:rsid w:val="00543BC7"/>
    <w:rsid w:val="00545CB9"/>
    <w:rsid w:val="00554228"/>
    <w:rsid w:val="00555128"/>
    <w:rsid w:val="00555F8B"/>
    <w:rsid w:val="00556CFB"/>
    <w:rsid w:val="005650CE"/>
    <w:rsid w:val="00574CE2"/>
    <w:rsid w:val="00576F62"/>
    <w:rsid w:val="00586099"/>
    <w:rsid w:val="00587697"/>
    <w:rsid w:val="00592C2B"/>
    <w:rsid w:val="00592E01"/>
    <w:rsid w:val="0059687F"/>
    <w:rsid w:val="0059701F"/>
    <w:rsid w:val="005A16E1"/>
    <w:rsid w:val="005B000C"/>
    <w:rsid w:val="005C0408"/>
    <w:rsid w:val="005C5B05"/>
    <w:rsid w:val="005D7A68"/>
    <w:rsid w:val="005E0EEA"/>
    <w:rsid w:val="005E1376"/>
    <w:rsid w:val="005E1475"/>
    <w:rsid w:val="005E598A"/>
    <w:rsid w:val="005F71B9"/>
    <w:rsid w:val="0061697C"/>
    <w:rsid w:val="0064787D"/>
    <w:rsid w:val="006566D7"/>
    <w:rsid w:val="00673CCE"/>
    <w:rsid w:val="00674E38"/>
    <w:rsid w:val="00675872"/>
    <w:rsid w:val="00676020"/>
    <w:rsid w:val="006766EE"/>
    <w:rsid w:val="006A4719"/>
    <w:rsid w:val="006B1F49"/>
    <w:rsid w:val="006B2183"/>
    <w:rsid w:val="006C0DF1"/>
    <w:rsid w:val="006C127D"/>
    <w:rsid w:val="006D513C"/>
    <w:rsid w:val="006D5C8D"/>
    <w:rsid w:val="006D7AF7"/>
    <w:rsid w:val="006E0E74"/>
    <w:rsid w:val="006E48A9"/>
    <w:rsid w:val="006E4B0D"/>
    <w:rsid w:val="006E4DEB"/>
    <w:rsid w:val="006F252A"/>
    <w:rsid w:val="006F4AD3"/>
    <w:rsid w:val="0070457D"/>
    <w:rsid w:val="00705C11"/>
    <w:rsid w:val="0070748C"/>
    <w:rsid w:val="00712AE8"/>
    <w:rsid w:val="00720972"/>
    <w:rsid w:val="0072125A"/>
    <w:rsid w:val="00724D8F"/>
    <w:rsid w:val="0073135B"/>
    <w:rsid w:val="00732B6E"/>
    <w:rsid w:val="00734D1A"/>
    <w:rsid w:val="00751CBF"/>
    <w:rsid w:val="0076364D"/>
    <w:rsid w:val="00774C66"/>
    <w:rsid w:val="00786239"/>
    <w:rsid w:val="007A60DF"/>
    <w:rsid w:val="007A6DBD"/>
    <w:rsid w:val="007B38BF"/>
    <w:rsid w:val="007B6C65"/>
    <w:rsid w:val="007C082E"/>
    <w:rsid w:val="007C18C4"/>
    <w:rsid w:val="007C1DFD"/>
    <w:rsid w:val="007C39D7"/>
    <w:rsid w:val="007D2D74"/>
    <w:rsid w:val="007E2C56"/>
    <w:rsid w:val="007F3F65"/>
    <w:rsid w:val="00801C39"/>
    <w:rsid w:val="008052F5"/>
    <w:rsid w:val="0081029F"/>
    <w:rsid w:val="00810EF7"/>
    <w:rsid w:val="0081501D"/>
    <w:rsid w:val="00822EA9"/>
    <w:rsid w:val="00826306"/>
    <w:rsid w:val="008331EF"/>
    <w:rsid w:val="00846C35"/>
    <w:rsid w:val="00854369"/>
    <w:rsid w:val="0085615A"/>
    <w:rsid w:val="00857397"/>
    <w:rsid w:val="0085795F"/>
    <w:rsid w:val="008604AA"/>
    <w:rsid w:val="00862AF2"/>
    <w:rsid w:val="0086394D"/>
    <w:rsid w:val="008675DF"/>
    <w:rsid w:val="008756CC"/>
    <w:rsid w:val="00880E1A"/>
    <w:rsid w:val="008859A1"/>
    <w:rsid w:val="00891258"/>
    <w:rsid w:val="008928E2"/>
    <w:rsid w:val="0089311C"/>
    <w:rsid w:val="008A1563"/>
    <w:rsid w:val="008A6465"/>
    <w:rsid w:val="008B165B"/>
    <w:rsid w:val="008B234C"/>
    <w:rsid w:val="008B3D1F"/>
    <w:rsid w:val="008C6F30"/>
    <w:rsid w:val="008D5637"/>
    <w:rsid w:val="008E5021"/>
    <w:rsid w:val="008F0053"/>
    <w:rsid w:val="008F01D1"/>
    <w:rsid w:val="008F46CE"/>
    <w:rsid w:val="008F716C"/>
    <w:rsid w:val="009019A5"/>
    <w:rsid w:val="0091062F"/>
    <w:rsid w:val="00925D92"/>
    <w:rsid w:val="00940CB9"/>
    <w:rsid w:val="00941BE0"/>
    <w:rsid w:val="0094201A"/>
    <w:rsid w:val="00945E35"/>
    <w:rsid w:val="009475CA"/>
    <w:rsid w:val="0097249B"/>
    <w:rsid w:val="00973E57"/>
    <w:rsid w:val="00975309"/>
    <w:rsid w:val="00990EE0"/>
    <w:rsid w:val="00992CD0"/>
    <w:rsid w:val="009944F0"/>
    <w:rsid w:val="00996090"/>
    <w:rsid w:val="009A2AFD"/>
    <w:rsid w:val="009B2A04"/>
    <w:rsid w:val="009B5394"/>
    <w:rsid w:val="009B7264"/>
    <w:rsid w:val="009C0F43"/>
    <w:rsid w:val="009C1FDD"/>
    <w:rsid w:val="009C626C"/>
    <w:rsid w:val="009C69B1"/>
    <w:rsid w:val="009D2AFB"/>
    <w:rsid w:val="009D3F06"/>
    <w:rsid w:val="009F0048"/>
    <w:rsid w:val="009F07C9"/>
    <w:rsid w:val="009F24CB"/>
    <w:rsid w:val="009F59D1"/>
    <w:rsid w:val="00A01328"/>
    <w:rsid w:val="00A03B5C"/>
    <w:rsid w:val="00A043FC"/>
    <w:rsid w:val="00A04F5C"/>
    <w:rsid w:val="00A07BF6"/>
    <w:rsid w:val="00A14739"/>
    <w:rsid w:val="00A14F54"/>
    <w:rsid w:val="00A173D3"/>
    <w:rsid w:val="00A2495D"/>
    <w:rsid w:val="00A31A86"/>
    <w:rsid w:val="00A36C70"/>
    <w:rsid w:val="00A45756"/>
    <w:rsid w:val="00A52856"/>
    <w:rsid w:val="00A5663D"/>
    <w:rsid w:val="00A56C50"/>
    <w:rsid w:val="00A5702B"/>
    <w:rsid w:val="00A607F6"/>
    <w:rsid w:val="00A717AF"/>
    <w:rsid w:val="00A77BD6"/>
    <w:rsid w:val="00A82233"/>
    <w:rsid w:val="00A867E7"/>
    <w:rsid w:val="00A92F78"/>
    <w:rsid w:val="00A9402E"/>
    <w:rsid w:val="00A97AEE"/>
    <w:rsid w:val="00AA033D"/>
    <w:rsid w:val="00AA0D1B"/>
    <w:rsid w:val="00AA5EA3"/>
    <w:rsid w:val="00AB5F15"/>
    <w:rsid w:val="00AC5230"/>
    <w:rsid w:val="00AE25A0"/>
    <w:rsid w:val="00AE3977"/>
    <w:rsid w:val="00AE3D3B"/>
    <w:rsid w:val="00AE77FA"/>
    <w:rsid w:val="00AF3203"/>
    <w:rsid w:val="00AF4358"/>
    <w:rsid w:val="00B014BE"/>
    <w:rsid w:val="00B11926"/>
    <w:rsid w:val="00B22C6D"/>
    <w:rsid w:val="00B237D7"/>
    <w:rsid w:val="00B23C11"/>
    <w:rsid w:val="00B2537D"/>
    <w:rsid w:val="00B26112"/>
    <w:rsid w:val="00B26E67"/>
    <w:rsid w:val="00B30578"/>
    <w:rsid w:val="00B3384F"/>
    <w:rsid w:val="00B419B7"/>
    <w:rsid w:val="00B51913"/>
    <w:rsid w:val="00B560E6"/>
    <w:rsid w:val="00B56743"/>
    <w:rsid w:val="00B603BF"/>
    <w:rsid w:val="00B611E1"/>
    <w:rsid w:val="00B64FBB"/>
    <w:rsid w:val="00B7412E"/>
    <w:rsid w:val="00B83963"/>
    <w:rsid w:val="00B84ACE"/>
    <w:rsid w:val="00BA7D9C"/>
    <w:rsid w:val="00BB33F2"/>
    <w:rsid w:val="00BB4580"/>
    <w:rsid w:val="00BC35AB"/>
    <w:rsid w:val="00BC6ED1"/>
    <w:rsid w:val="00BC7724"/>
    <w:rsid w:val="00BD5CB2"/>
    <w:rsid w:val="00BE07E5"/>
    <w:rsid w:val="00BE28DC"/>
    <w:rsid w:val="00BE2AF1"/>
    <w:rsid w:val="00BE5CEA"/>
    <w:rsid w:val="00BF1E3D"/>
    <w:rsid w:val="00BF4485"/>
    <w:rsid w:val="00BF5A16"/>
    <w:rsid w:val="00C00001"/>
    <w:rsid w:val="00C000BC"/>
    <w:rsid w:val="00C01CFA"/>
    <w:rsid w:val="00C02188"/>
    <w:rsid w:val="00C03574"/>
    <w:rsid w:val="00C0671E"/>
    <w:rsid w:val="00C07B11"/>
    <w:rsid w:val="00C206F0"/>
    <w:rsid w:val="00C30555"/>
    <w:rsid w:val="00C30607"/>
    <w:rsid w:val="00C50BF8"/>
    <w:rsid w:val="00C51D2F"/>
    <w:rsid w:val="00C55261"/>
    <w:rsid w:val="00C63590"/>
    <w:rsid w:val="00C635B1"/>
    <w:rsid w:val="00C73493"/>
    <w:rsid w:val="00C73558"/>
    <w:rsid w:val="00C76394"/>
    <w:rsid w:val="00C83709"/>
    <w:rsid w:val="00C93A54"/>
    <w:rsid w:val="00C94272"/>
    <w:rsid w:val="00CB0D6C"/>
    <w:rsid w:val="00CB2FE2"/>
    <w:rsid w:val="00CB340B"/>
    <w:rsid w:val="00CC0551"/>
    <w:rsid w:val="00CC6CA0"/>
    <w:rsid w:val="00CD0219"/>
    <w:rsid w:val="00CD242D"/>
    <w:rsid w:val="00CD5F22"/>
    <w:rsid w:val="00CD6423"/>
    <w:rsid w:val="00CE0EB7"/>
    <w:rsid w:val="00CE13E7"/>
    <w:rsid w:val="00CE4F6D"/>
    <w:rsid w:val="00CF05BB"/>
    <w:rsid w:val="00CF0710"/>
    <w:rsid w:val="00CF4005"/>
    <w:rsid w:val="00CF44DF"/>
    <w:rsid w:val="00CF4E9A"/>
    <w:rsid w:val="00D17138"/>
    <w:rsid w:val="00D20F51"/>
    <w:rsid w:val="00D247F8"/>
    <w:rsid w:val="00D30AA2"/>
    <w:rsid w:val="00D32AF7"/>
    <w:rsid w:val="00D33043"/>
    <w:rsid w:val="00D54913"/>
    <w:rsid w:val="00D6472F"/>
    <w:rsid w:val="00D64D0D"/>
    <w:rsid w:val="00D66CBC"/>
    <w:rsid w:val="00D764EE"/>
    <w:rsid w:val="00D8061E"/>
    <w:rsid w:val="00D87A67"/>
    <w:rsid w:val="00D9112F"/>
    <w:rsid w:val="00D92A7E"/>
    <w:rsid w:val="00DA00BB"/>
    <w:rsid w:val="00DA79C5"/>
    <w:rsid w:val="00DB03A3"/>
    <w:rsid w:val="00DB2993"/>
    <w:rsid w:val="00DB5FF9"/>
    <w:rsid w:val="00DC562A"/>
    <w:rsid w:val="00DD109D"/>
    <w:rsid w:val="00DF2A8B"/>
    <w:rsid w:val="00DF7912"/>
    <w:rsid w:val="00E0307E"/>
    <w:rsid w:val="00E056B2"/>
    <w:rsid w:val="00E11AC7"/>
    <w:rsid w:val="00E13035"/>
    <w:rsid w:val="00E13F0D"/>
    <w:rsid w:val="00E17184"/>
    <w:rsid w:val="00E46D54"/>
    <w:rsid w:val="00E5102F"/>
    <w:rsid w:val="00E630E4"/>
    <w:rsid w:val="00E85347"/>
    <w:rsid w:val="00E8634C"/>
    <w:rsid w:val="00E9045E"/>
    <w:rsid w:val="00E910CA"/>
    <w:rsid w:val="00E92A4D"/>
    <w:rsid w:val="00EA12AC"/>
    <w:rsid w:val="00EA2963"/>
    <w:rsid w:val="00EA6CF9"/>
    <w:rsid w:val="00EB3843"/>
    <w:rsid w:val="00EB5AED"/>
    <w:rsid w:val="00ED01B8"/>
    <w:rsid w:val="00ED7F7C"/>
    <w:rsid w:val="00EE3F16"/>
    <w:rsid w:val="00EE514E"/>
    <w:rsid w:val="00EE68E9"/>
    <w:rsid w:val="00EF5089"/>
    <w:rsid w:val="00EF7B9B"/>
    <w:rsid w:val="00F0265A"/>
    <w:rsid w:val="00F0770B"/>
    <w:rsid w:val="00F127E5"/>
    <w:rsid w:val="00F16F5E"/>
    <w:rsid w:val="00F17489"/>
    <w:rsid w:val="00F201E7"/>
    <w:rsid w:val="00F203D7"/>
    <w:rsid w:val="00F30B15"/>
    <w:rsid w:val="00F329DE"/>
    <w:rsid w:val="00F3576F"/>
    <w:rsid w:val="00F36134"/>
    <w:rsid w:val="00F43091"/>
    <w:rsid w:val="00F4381C"/>
    <w:rsid w:val="00F4626C"/>
    <w:rsid w:val="00F5142D"/>
    <w:rsid w:val="00F54D43"/>
    <w:rsid w:val="00F56C01"/>
    <w:rsid w:val="00F67264"/>
    <w:rsid w:val="00F803B7"/>
    <w:rsid w:val="00F870A4"/>
    <w:rsid w:val="00F90F2A"/>
    <w:rsid w:val="00FA2033"/>
    <w:rsid w:val="00FA23A9"/>
    <w:rsid w:val="00FA61CD"/>
    <w:rsid w:val="00FB6408"/>
    <w:rsid w:val="00FB7376"/>
    <w:rsid w:val="00FB7F2E"/>
    <w:rsid w:val="00FC7E61"/>
    <w:rsid w:val="00FD1008"/>
    <w:rsid w:val="00FD3FD0"/>
    <w:rsid w:val="00FD51FF"/>
    <w:rsid w:val="00FD6DA6"/>
    <w:rsid w:val="00FE00BC"/>
    <w:rsid w:val="00FE4409"/>
    <w:rsid w:val="00FE4CA0"/>
    <w:rsid w:val="00FE72E4"/>
    <w:rsid w:val="00FF0147"/>
    <w:rsid w:val="01B34F50"/>
    <w:rsid w:val="01F67F14"/>
    <w:rsid w:val="02BE102A"/>
    <w:rsid w:val="02DE7C7D"/>
    <w:rsid w:val="0399402D"/>
    <w:rsid w:val="03E14C7E"/>
    <w:rsid w:val="03EE28F9"/>
    <w:rsid w:val="04137DFA"/>
    <w:rsid w:val="044502C0"/>
    <w:rsid w:val="046B4A25"/>
    <w:rsid w:val="04BC276F"/>
    <w:rsid w:val="04D055E9"/>
    <w:rsid w:val="053E1BE1"/>
    <w:rsid w:val="056703FD"/>
    <w:rsid w:val="058F3A54"/>
    <w:rsid w:val="05924C0F"/>
    <w:rsid w:val="059430C7"/>
    <w:rsid w:val="05D300C2"/>
    <w:rsid w:val="05EA4DDA"/>
    <w:rsid w:val="06053B23"/>
    <w:rsid w:val="073B7620"/>
    <w:rsid w:val="07477D99"/>
    <w:rsid w:val="07554285"/>
    <w:rsid w:val="076E5383"/>
    <w:rsid w:val="07740BAF"/>
    <w:rsid w:val="077C7683"/>
    <w:rsid w:val="087C7DB9"/>
    <w:rsid w:val="08B60FDD"/>
    <w:rsid w:val="08E5752B"/>
    <w:rsid w:val="09061EBF"/>
    <w:rsid w:val="090B01CA"/>
    <w:rsid w:val="09430455"/>
    <w:rsid w:val="097F044B"/>
    <w:rsid w:val="09AD4230"/>
    <w:rsid w:val="09E27796"/>
    <w:rsid w:val="0A977B35"/>
    <w:rsid w:val="0AAD70F7"/>
    <w:rsid w:val="0AD57AFE"/>
    <w:rsid w:val="0BAC5E56"/>
    <w:rsid w:val="0BE87F11"/>
    <w:rsid w:val="0C971237"/>
    <w:rsid w:val="0CEA28F8"/>
    <w:rsid w:val="0D1A3FA7"/>
    <w:rsid w:val="0D246B0E"/>
    <w:rsid w:val="0DAB146A"/>
    <w:rsid w:val="0DBB4AF6"/>
    <w:rsid w:val="0E1E294E"/>
    <w:rsid w:val="0EBC5D15"/>
    <w:rsid w:val="0EF56A0B"/>
    <w:rsid w:val="0F144A4C"/>
    <w:rsid w:val="0F213C2C"/>
    <w:rsid w:val="10A347D6"/>
    <w:rsid w:val="10FB5C80"/>
    <w:rsid w:val="11A65662"/>
    <w:rsid w:val="11FF7544"/>
    <w:rsid w:val="125E66E4"/>
    <w:rsid w:val="126B1311"/>
    <w:rsid w:val="1274141C"/>
    <w:rsid w:val="12757A92"/>
    <w:rsid w:val="12AF6A5C"/>
    <w:rsid w:val="12D00680"/>
    <w:rsid w:val="12EF3D16"/>
    <w:rsid w:val="139D4DD9"/>
    <w:rsid w:val="13CB6033"/>
    <w:rsid w:val="144A29AA"/>
    <w:rsid w:val="14535FF1"/>
    <w:rsid w:val="14964944"/>
    <w:rsid w:val="152A7E9F"/>
    <w:rsid w:val="15387699"/>
    <w:rsid w:val="15445570"/>
    <w:rsid w:val="15A03BF7"/>
    <w:rsid w:val="1606799C"/>
    <w:rsid w:val="1725242A"/>
    <w:rsid w:val="178D5376"/>
    <w:rsid w:val="17A76029"/>
    <w:rsid w:val="17B105E6"/>
    <w:rsid w:val="18644328"/>
    <w:rsid w:val="18757221"/>
    <w:rsid w:val="187D71C9"/>
    <w:rsid w:val="18CE7F52"/>
    <w:rsid w:val="19552A38"/>
    <w:rsid w:val="199C65D8"/>
    <w:rsid w:val="19BA176A"/>
    <w:rsid w:val="19D8063F"/>
    <w:rsid w:val="19F4079A"/>
    <w:rsid w:val="19F53DD2"/>
    <w:rsid w:val="1A4D4F32"/>
    <w:rsid w:val="1AEF0B4E"/>
    <w:rsid w:val="1AEF543A"/>
    <w:rsid w:val="1B290B86"/>
    <w:rsid w:val="1B431756"/>
    <w:rsid w:val="1B59213E"/>
    <w:rsid w:val="1B823968"/>
    <w:rsid w:val="1B861DFA"/>
    <w:rsid w:val="1BDD5F01"/>
    <w:rsid w:val="1BEC6D41"/>
    <w:rsid w:val="1C1C63E1"/>
    <w:rsid w:val="1C3D1430"/>
    <w:rsid w:val="1C5D5C5E"/>
    <w:rsid w:val="1C98152A"/>
    <w:rsid w:val="1D037E8A"/>
    <w:rsid w:val="1D26331A"/>
    <w:rsid w:val="1D704CB4"/>
    <w:rsid w:val="1D7449BF"/>
    <w:rsid w:val="1D81772B"/>
    <w:rsid w:val="1D886E69"/>
    <w:rsid w:val="1E021EA5"/>
    <w:rsid w:val="1E935967"/>
    <w:rsid w:val="1EA74DFE"/>
    <w:rsid w:val="1F971EED"/>
    <w:rsid w:val="203A5BA0"/>
    <w:rsid w:val="20630F2D"/>
    <w:rsid w:val="21060EBB"/>
    <w:rsid w:val="211E3E25"/>
    <w:rsid w:val="218E2971"/>
    <w:rsid w:val="2190164B"/>
    <w:rsid w:val="219E75C1"/>
    <w:rsid w:val="21FA77E6"/>
    <w:rsid w:val="221E19EC"/>
    <w:rsid w:val="232308AC"/>
    <w:rsid w:val="23841D23"/>
    <w:rsid w:val="23C64248"/>
    <w:rsid w:val="23C822C6"/>
    <w:rsid w:val="24A82BB6"/>
    <w:rsid w:val="24B71C84"/>
    <w:rsid w:val="253231F4"/>
    <w:rsid w:val="254E19E5"/>
    <w:rsid w:val="25755DC7"/>
    <w:rsid w:val="257E63E2"/>
    <w:rsid w:val="25E965C8"/>
    <w:rsid w:val="26710CFD"/>
    <w:rsid w:val="26B64928"/>
    <w:rsid w:val="26C32B62"/>
    <w:rsid w:val="26C56335"/>
    <w:rsid w:val="2702301A"/>
    <w:rsid w:val="273F4F90"/>
    <w:rsid w:val="27BB5B1F"/>
    <w:rsid w:val="28610A89"/>
    <w:rsid w:val="289E43D9"/>
    <w:rsid w:val="28A317EC"/>
    <w:rsid w:val="28EB40A5"/>
    <w:rsid w:val="295A7D81"/>
    <w:rsid w:val="29983D07"/>
    <w:rsid w:val="29C94C79"/>
    <w:rsid w:val="29CB1213"/>
    <w:rsid w:val="29CE5AA6"/>
    <w:rsid w:val="2A537483"/>
    <w:rsid w:val="2ABE6A2E"/>
    <w:rsid w:val="2AC5140F"/>
    <w:rsid w:val="2AD179B0"/>
    <w:rsid w:val="2ADD1B1D"/>
    <w:rsid w:val="2B0E322D"/>
    <w:rsid w:val="2B38763A"/>
    <w:rsid w:val="2B6208DA"/>
    <w:rsid w:val="2B7150E3"/>
    <w:rsid w:val="2C511948"/>
    <w:rsid w:val="2C8D10E6"/>
    <w:rsid w:val="2CFE782C"/>
    <w:rsid w:val="2D1B36F8"/>
    <w:rsid w:val="2D357669"/>
    <w:rsid w:val="2D935106"/>
    <w:rsid w:val="2DB651CE"/>
    <w:rsid w:val="2E0814A1"/>
    <w:rsid w:val="2E0F053C"/>
    <w:rsid w:val="2E241309"/>
    <w:rsid w:val="2E586D4A"/>
    <w:rsid w:val="2E671F4F"/>
    <w:rsid w:val="2EDF21BF"/>
    <w:rsid w:val="2EEB21D4"/>
    <w:rsid w:val="2F216CD6"/>
    <w:rsid w:val="304442B7"/>
    <w:rsid w:val="305675FF"/>
    <w:rsid w:val="30F567ED"/>
    <w:rsid w:val="30FD7EB0"/>
    <w:rsid w:val="315627FD"/>
    <w:rsid w:val="316C6FC5"/>
    <w:rsid w:val="32171FB4"/>
    <w:rsid w:val="32553B4B"/>
    <w:rsid w:val="325A2CF1"/>
    <w:rsid w:val="32801F6E"/>
    <w:rsid w:val="33016A38"/>
    <w:rsid w:val="33FE3469"/>
    <w:rsid w:val="34257575"/>
    <w:rsid w:val="348F102A"/>
    <w:rsid w:val="34C56129"/>
    <w:rsid w:val="34DF325D"/>
    <w:rsid w:val="353607E1"/>
    <w:rsid w:val="36FF7BE6"/>
    <w:rsid w:val="37BD7E4E"/>
    <w:rsid w:val="37CF0B2F"/>
    <w:rsid w:val="37EF4766"/>
    <w:rsid w:val="38143AEA"/>
    <w:rsid w:val="38211DB8"/>
    <w:rsid w:val="38323916"/>
    <w:rsid w:val="384A6092"/>
    <w:rsid w:val="38996C55"/>
    <w:rsid w:val="389F10E5"/>
    <w:rsid w:val="38A806C4"/>
    <w:rsid w:val="3A6A40FE"/>
    <w:rsid w:val="3AB16BF5"/>
    <w:rsid w:val="3AC1443A"/>
    <w:rsid w:val="3AD33C8A"/>
    <w:rsid w:val="3B197B93"/>
    <w:rsid w:val="3B62229C"/>
    <w:rsid w:val="3B7722C6"/>
    <w:rsid w:val="3BB553C0"/>
    <w:rsid w:val="3C17073D"/>
    <w:rsid w:val="3C4D6E48"/>
    <w:rsid w:val="3CA66DFD"/>
    <w:rsid w:val="3CE53BDB"/>
    <w:rsid w:val="3D847454"/>
    <w:rsid w:val="3D8F2D8E"/>
    <w:rsid w:val="3DC13115"/>
    <w:rsid w:val="3E0A64CE"/>
    <w:rsid w:val="3F53590B"/>
    <w:rsid w:val="40011082"/>
    <w:rsid w:val="411D79C1"/>
    <w:rsid w:val="418A5ACA"/>
    <w:rsid w:val="41D45297"/>
    <w:rsid w:val="41F95F47"/>
    <w:rsid w:val="4213682A"/>
    <w:rsid w:val="43303316"/>
    <w:rsid w:val="434B7D0F"/>
    <w:rsid w:val="434C6FE4"/>
    <w:rsid w:val="4361453D"/>
    <w:rsid w:val="437B0606"/>
    <w:rsid w:val="43C95804"/>
    <w:rsid w:val="4411755C"/>
    <w:rsid w:val="445B5401"/>
    <w:rsid w:val="44903DFD"/>
    <w:rsid w:val="44953914"/>
    <w:rsid w:val="44A469F6"/>
    <w:rsid w:val="44BA390C"/>
    <w:rsid w:val="450B6063"/>
    <w:rsid w:val="452F77AB"/>
    <w:rsid w:val="45342ECC"/>
    <w:rsid w:val="454C6BE5"/>
    <w:rsid w:val="45732A4A"/>
    <w:rsid w:val="45C92E41"/>
    <w:rsid w:val="462927C7"/>
    <w:rsid w:val="46603AD2"/>
    <w:rsid w:val="46FC0B29"/>
    <w:rsid w:val="478E7E3D"/>
    <w:rsid w:val="48867527"/>
    <w:rsid w:val="488843A0"/>
    <w:rsid w:val="49380D36"/>
    <w:rsid w:val="49392E71"/>
    <w:rsid w:val="496B6CCF"/>
    <w:rsid w:val="49904F73"/>
    <w:rsid w:val="49DE368B"/>
    <w:rsid w:val="49F84CDF"/>
    <w:rsid w:val="4AB4049F"/>
    <w:rsid w:val="4ABA57C1"/>
    <w:rsid w:val="4ADA11A0"/>
    <w:rsid w:val="4B2E23F0"/>
    <w:rsid w:val="4B4F720F"/>
    <w:rsid w:val="4B726781"/>
    <w:rsid w:val="4BBA620B"/>
    <w:rsid w:val="4BBA730D"/>
    <w:rsid w:val="4BCB72FE"/>
    <w:rsid w:val="4CE45571"/>
    <w:rsid w:val="4D454EEE"/>
    <w:rsid w:val="4D8F75E3"/>
    <w:rsid w:val="4D98385B"/>
    <w:rsid w:val="4DC1638E"/>
    <w:rsid w:val="4E9C509B"/>
    <w:rsid w:val="4EE631A7"/>
    <w:rsid w:val="4FAD04D2"/>
    <w:rsid w:val="4FFE470D"/>
    <w:rsid w:val="50815380"/>
    <w:rsid w:val="508F1D7F"/>
    <w:rsid w:val="512F066D"/>
    <w:rsid w:val="51BD2325"/>
    <w:rsid w:val="526F3A1A"/>
    <w:rsid w:val="52732519"/>
    <w:rsid w:val="5285550C"/>
    <w:rsid w:val="52A427E2"/>
    <w:rsid w:val="53B46D72"/>
    <w:rsid w:val="53BE725F"/>
    <w:rsid w:val="53E40230"/>
    <w:rsid w:val="53E90DEA"/>
    <w:rsid w:val="53EF57BD"/>
    <w:rsid w:val="540F0001"/>
    <w:rsid w:val="547C52AA"/>
    <w:rsid w:val="549A4591"/>
    <w:rsid w:val="549C602A"/>
    <w:rsid w:val="54AF114A"/>
    <w:rsid w:val="55F04E72"/>
    <w:rsid w:val="561277C2"/>
    <w:rsid w:val="56252770"/>
    <w:rsid w:val="56537D44"/>
    <w:rsid w:val="567924C1"/>
    <w:rsid w:val="56843281"/>
    <w:rsid w:val="56DF6F78"/>
    <w:rsid w:val="5753191E"/>
    <w:rsid w:val="57617704"/>
    <w:rsid w:val="578D5D1D"/>
    <w:rsid w:val="57D650A9"/>
    <w:rsid w:val="580235B0"/>
    <w:rsid w:val="58871148"/>
    <w:rsid w:val="58C35A49"/>
    <w:rsid w:val="5A0A13EE"/>
    <w:rsid w:val="5A0D5780"/>
    <w:rsid w:val="5A1D098B"/>
    <w:rsid w:val="5A22506C"/>
    <w:rsid w:val="5A8143DE"/>
    <w:rsid w:val="5AD54052"/>
    <w:rsid w:val="5B0F1E68"/>
    <w:rsid w:val="5B39644A"/>
    <w:rsid w:val="5B447675"/>
    <w:rsid w:val="5B487825"/>
    <w:rsid w:val="5BB82BDB"/>
    <w:rsid w:val="5BF84A80"/>
    <w:rsid w:val="5C6F3D0C"/>
    <w:rsid w:val="5C7855A2"/>
    <w:rsid w:val="5CB564CD"/>
    <w:rsid w:val="5CE24465"/>
    <w:rsid w:val="5D0957BF"/>
    <w:rsid w:val="5D264934"/>
    <w:rsid w:val="5D275BFC"/>
    <w:rsid w:val="5D5C79F4"/>
    <w:rsid w:val="5D9A5C90"/>
    <w:rsid w:val="5DA967BF"/>
    <w:rsid w:val="5DB74225"/>
    <w:rsid w:val="5E225634"/>
    <w:rsid w:val="5E2C1E54"/>
    <w:rsid w:val="5E78246C"/>
    <w:rsid w:val="5EDD5C4B"/>
    <w:rsid w:val="5EF53034"/>
    <w:rsid w:val="5F076F79"/>
    <w:rsid w:val="5F230B44"/>
    <w:rsid w:val="5FDF25F8"/>
    <w:rsid w:val="600C0BEE"/>
    <w:rsid w:val="60E24008"/>
    <w:rsid w:val="60E3752C"/>
    <w:rsid w:val="612738DB"/>
    <w:rsid w:val="612B55FF"/>
    <w:rsid w:val="6138147B"/>
    <w:rsid w:val="61DD0229"/>
    <w:rsid w:val="62712E97"/>
    <w:rsid w:val="638C7825"/>
    <w:rsid w:val="64D92BE5"/>
    <w:rsid w:val="64E21E1A"/>
    <w:rsid w:val="64F41BE6"/>
    <w:rsid w:val="650C50F9"/>
    <w:rsid w:val="65611C2C"/>
    <w:rsid w:val="662143B9"/>
    <w:rsid w:val="665C60D3"/>
    <w:rsid w:val="669929BC"/>
    <w:rsid w:val="66D40616"/>
    <w:rsid w:val="66D62D5D"/>
    <w:rsid w:val="67431886"/>
    <w:rsid w:val="67AE693B"/>
    <w:rsid w:val="683932E7"/>
    <w:rsid w:val="68AD15BB"/>
    <w:rsid w:val="68DE4FFE"/>
    <w:rsid w:val="68E02073"/>
    <w:rsid w:val="69274CF2"/>
    <w:rsid w:val="696038C5"/>
    <w:rsid w:val="696311C7"/>
    <w:rsid w:val="6A1B469D"/>
    <w:rsid w:val="6A5F216E"/>
    <w:rsid w:val="6A5F6284"/>
    <w:rsid w:val="6ACF48E4"/>
    <w:rsid w:val="6B175C8D"/>
    <w:rsid w:val="6B4C36A9"/>
    <w:rsid w:val="6BAF56D4"/>
    <w:rsid w:val="6BF7629E"/>
    <w:rsid w:val="6CD3474E"/>
    <w:rsid w:val="6CF0605D"/>
    <w:rsid w:val="6D793547"/>
    <w:rsid w:val="6DA460D9"/>
    <w:rsid w:val="6E040BA8"/>
    <w:rsid w:val="6E453429"/>
    <w:rsid w:val="6E4B45FB"/>
    <w:rsid w:val="6E883396"/>
    <w:rsid w:val="6EB83385"/>
    <w:rsid w:val="6F2F65B3"/>
    <w:rsid w:val="6F656448"/>
    <w:rsid w:val="6FD668D1"/>
    <w:rsid w:val="700733C2"/>
    <w:rsid w:val="707153EE"/>
    <w:rsid w:val="70911E6E"/>
    <w:rsid w:val="70C25205"/>
    <w:rsid w:val="70D66FD4"/>
    <w:rsid w:val="70E31FF9"/>
    <w:rsid w:val="70E47206"/>
    <w:rsid w:val="71777D9E"/>
    <w:rsid w:val="7179427B"/>
    <w:rsid w:val="71B42B2B"/>
    <w:rsid w:val="727D3192"/>
    <w:rsid w:val="729105BC"/>
    <w:rsid w:val="72C1266A"/>
    <w:rsid w:val="730D7A1C"/>
    <w:rsid w:val="736C60B9"/>
    <w:rsid w:val="74367A9C"/>
    <w:rsid w:val="74F57957"/>
    <w:rsid w:val="76E7626B"/>
    <w:rsid w:val="76EA1012"/>
    <w:rsid w:val="76EF72D6"/>
    <w:rsid w:val="7706436C"/>
    <w:rsid w:val="77602D94"/>
    <w:rsid w:val="777059BB"/>
    <w:rsid w:val="778324C5"/>
    <w:rsid w:val="77880FB0"/>
    <w:rsid w:val="77FE0A3B"/>
    <w:rsid w:val="782D7408"/>
    <w:rsid w:val="783A6C9F"/>
    <w:rsid w:val="78DC3AF7"/>
    <w:rsid w:val="79594B4C"/>
    <w:rsid w:val="79892D64"/>
    <w:rsid w:val="79E45E91"/>
    <w:rsid w:val="7A174632"/>
    <w:rsid w:val="7A570403"/>
    <w:rsid w:val="7A5A0A07"/>
    <w:rsid w:val="7ADA2618"/>
    <w:rsid w:val="7B5A2F6D"/>
    <w:rsid w:val="7B96630A"/>
    <w:rsid w:val="7BB326A7"/>
    <w:rsid w:val="7C0012DD"/>
    <w:rsid w:val="7C165903"/>
    <w:rsid w:val="7C2014CE"/>
    <w:rsid w:val="7D09509C"/>
    <w:rsid w:val="7D277E87"/>
    <w:rsid w:val="7D4678E3"/>
    <w:rsid w:val="7D4D7672"/>
    <w:rsid w:val="7E0313B7"/>
    <w:rsid w:val="7E40268E"/>
    <w:rsid w:val="7E7B7369"/>
    <w:rsid w:val="7EE34433"/>
    <w:rsid w:val="7F3548F7"/>
    <w:rsid w:val="7F5F7F08"/>
    <w:rsid w:val="7F7E60BE"/>
    <w:rsid w:val="7F9262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qFormat="1" w:unhideWhenUsed="0" w:uiPriority="0" w:name="toc 6"/>
    <w:lsdException w:qFormat="1" w:unhideWhenUsed="0" w:uiPriority="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abs>
        <w:tab w:val="left" w:pos="377"/>
      </w:tabs>
      <w:spacing w:line="300" w:lineRule="auto"/>
      <w:jc w:val="both"/>
    </w:pPr>
    <w:rPr>
      <w:rFonts w:ascii="Times New Roman" w:hAnsi="Times New Roman" w:eastAsia="宋体" w:cs="Times New Roman"/>
      <w:sz w:val="24"/>
      <w:szCs w:val="24"/>
      <w:lang w:val="en-US" w:eastAsia="zh-CN" w:bidi="ar-SA"/>
    </w:rPr>
  </w:style>
  <w:style w:type="paragraph" w:styleId="2">
    <w:name w:val="heading 1"/>
    <w:basedOn w:val="1"/>
    <w:next w:val="3"/>
    <w:link w:val="44"/>
    <w:qFormat/>
    <w:uiPriority w:val="0"/>
    <w:pPr>
      <w:keepNext/>
      <w:keepLines/>
      <w:spacing w:after="220" w:line="360" w:lineRule="auto"/>
      <w:outlineLvl w:val="0"/>
    </w:pPr>
    <w:rPr>
      <w:rFonts w:ascii="黑体" w:eastAsia="黑体"/>
      <w:bCs/>
      <w:kern w:val="44"/>
      <w:sz w:val="30"/>
      <w:szCs w:val="30"/>
    </w:rPr>
  </w:style>
  <w:style w:type="paragraph" w:styleId="4">
    <w:name w:val="heading 2"/>
    <w:basedOn w:val="1"/>
    <w:next w:val="3"/>
    <w:qFormat/>
    <w:uiPriority w:val="0"/>
    <w:pPr>
      <w:keepNext/>
      <w:keepLines/>
      <w:spacing w:beforeLines="50" w:line="360" w:lineRule="auto"/>
      <w:outlineLvl w:val="1"/>
    </w:pPr>
    <w:rPr>
      <w:rFonts w:ascii="黑体" w:eastAsia="黑体"/>
      <w:bCs/>
      <w:sz w:val="28"/>
      <w:szCs w:val="28"/>
    </w:rPr>
  </w:style>
  <w:style w:type="paragraph" w:styleId="5">
    <w:name w:val="heading 3"/>
    <w:basedOn w:val="1"/>
    <w:next w:val="3"/>
    <w:qFormat/>
    <w:uiPriority w:val="0"/>
    <w:pPr>
      <w:keepNext/>
      <w:keepLines/>
      <w:spacing w:beforeLines="50" w:line="360" w:lineRule="auto"/>
      <w:outlineLvl w:val="2"/>
    </w:pPr>
    <w:rPr>
      <w:rFonts w:ascii="黑体" w:eastAsia="黑体"/>
      <w:bCs/>
      <w:szCs w:val="32"/>
    </w:rPr>
  </w:style>
  <w:style w:type="paragraph" w:styleId="6">
    <w:name w:val="heading 4"/>
    <w:basedOn w:val="1"/>
    <w:next w:val="1"/>
    <w:qFormat/>
    <w:uiPriority w:val="0"/>
    <w:pPr>
      <w:keepNext/>
      <w:keepLines/>
      <w:spacing w:before="240" w:after="240" w:line="360" w:lineRule="auto"/>
      <w:outlineLvl w:val="3"/>
    </w:pPr>
    <w:rPr>
      <w:bCs/>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basedOn w:val="1"/>
    <w:qFormat/>
    <w:uiPriority w:val="99"/>
    <w:pPr>
      <w:kinsoku w:val="0"/>
      <w:snapToGrid w:val="0"/>
    </w:pPr>
    <w:rPr>
      <w:rFonts w:ascii="微软雅黑" w:hAnsi="微软雅黑" w:eastAsia="微软雅黑" w:cs="Times New Roman"/>
      <w:sz w:val="21"/>
      <w:szCs w:val="21"/>
      <w:lang w:val="en-GB" w:eastAsia="zh-CN" w:bidi="ar-SA"/>
    </w:rPr>
  </w:style>
  <w:style w:type="paragraph" w:styleId="7">
    <w:name w:val="toc 7"/>
    <w:basedOn w:val="1"/>
    <w:next w:val="1"/>
    <w:semiHidden/>
    <w:qFormat/>
    <w:uiPriority w:val="0"/>
    <w:pPr>
      <w:widowControl w:val="0"/>
      <w:tabs>
        <w:tab w:val="clear" w:pos="377"/>
      </w:tabs>
      <w:spacing w:line="240" w:lineRule="auto"/>
      <w:ind w:left="2520" w:leftChars="1200"/>
    </w:pPr>
    <w:rPr>
      <w:kern w:val="2"/>
      <w:sz w:val="21"/>
    </w:rPr>
  </w:style>
  <w:style w:type="paragraph" w:styleId="8">
    <w:name w:val="caption"/>
    <w:basedOn w:val="1"/>
    <w:next w:val="1"/>
    <w:semiHidden/>
    <w:unhideWhenUsed/>
    <w:qFormat/>
    <w:uiPriority w:val="0"/>
    <w:rPr>
      <w:rFonts w:ascii="Arial" w:hAnsi="Arial" w:eastAsia="黑体"/>
      <w:sz w:val="20"/>
    </w:rPr>
  </w:style>
  <w:style w:type="paragraph" w:styleId="9">
    <w:name w:val="annotation text"/>
    <w:basedOn w:val="1"/>
    <w:link w:val="45"/>
    <w:qFormat/>
    <w:uiPriority w:val="0"/>
    <w:pPr>
      <w:jc w:val="left"/>
    </w:pPr>
  </w:style>
  <w:style w:type="paragraph" w:styleId="10">
    <w:name w:val="Body Text"/>
    <w:basedOn w:val="1"/>
    <w:semiHidden/>
    <w:qFormat/>
    <w:uiPriority w:val="0"/>
    <w:rPr>
      <w:rFonts w:ascii="微软雅黑" w:hAnsi="微软雅黑" w:eastAsia="微软雅黑" w:cs="微软雅黑"/>
      <w:sz w:val="28"/>
      <w:szCs w:val="28"/>
      <w:lang w:eastAsia="en-US"/>
    </w:rPr>
  </w:style>
  <w:style w:type="paragraph" w:styleId="11">
    <w:name w:val="toc 3"/>
    <w:basedOn w:val="1"/>
    <w:next w:val="1"/>
    <w:qFormat/>
    <w:uiPriority w:val="39"/>
    <w:pPr>
      <w:tabs>
        <w:tab w:val="clear" w:pos="377"/>
      </w:tabs>
      <w:ind w:left="840" w:leftChars="400"/>
    </w:pPr>
  </w:style>
  <w:style w:type="paragraph" w:styleId="12">
    <w:name w:val="Date"/>
    <w:basedOn w:val="1"/>
    <w:next w:val="1"/>
    <w:link w:val="47"/>
    <w:qFormat/>
    <w:uiPriority w:val="0"/>
    <w:pPr>
      <w:widowControl w:val="0"/>
      <w:tabs>
        <w:tab w:val="clear" w:pos="377"/>
      </w:tabs>
      <w:spacing w:line="240" w:lineRule="auto"/>
      <w:ind w:left="100" w:leftChars="2500"/>
    </w:pPr>
    <w:rPr>
      <w:rFonts w:ascii="仿宋_GB2312" w:hAnsi="宋体" w:eastAsia="仿宋_GB2312" w:cs="Courier New"/>
      <w:kern w:val="2"/>
      <w:sz w:val="28"/>
      <w:szCs w:val="21"/>
    </w:rPr>
  </w:style>
  <w:style w:type="paragraph" w:styleId="13">
    <w:name w:val="Balloon Text"/>
    <w:basedOn w:val="1"/>
    <w:semiHidden/>
    <w:qFormat/>
    <w:uiPriority w:val="0"/>
    <w:rPr>
      <w:sz w:val="18"/>
      <w:szCs w:val="18"/>
    </w:rPr>
  </w:style>
  <w:style w:type="paragraph" w:styleId="14">
    <w:name w:val="footer"/>
    <w:basedOn w:val="1"/>
    <w:qFormat/>
    <w:uiPriority w:val="0"/>
    <w:pPr>
      <w:tabs>
        <w:tab w:val="center" w:pos="4153"/>
        <w:tab w:val="right" w:pos="8306"/>
        <w:tab w:val="clear" w:pos="377"/>
      </w:tabs>
      <w:spacing w:before="600" w:line="180" w:lineRule="atLeast"/>
      <w:jc w:val="left"/>
    </w:pPr>
    <w:rPr>
      <w:sz w:val="18"/>
      <w:szCs w:val="18"/>
    </w:rPr>
  </w:style>
  <w:style w:type="paragraph" w:styleId="15">
    <w:name w:val="header"/>
    <w:basedOn w:val="1"/>
    <w:link w:val="33"/>
    <w:qFormat/>
    <w:uiPriority w:val="99"/>
    <w:pPr>
      <w:keepLines/>
      <w:pBdr>
        <w:bottom w:val="single" w:color="auto" w:sz="6" w:space="1"/>
      </w:pBdr>
      <w:tabs>
        <w:tab w:val="center" w:pos="4153"/>
        <w:tab w:val="right" w:pos="8306"/>
        <w:tab w:val="clear" w:pos="377"/>
      </w:tabs>
      <w:snapToGrid w:val="0"/>
      <w:spacing w:after="600" w:line="180" w:lineRule="atLeast"/>
      <w:jc w:val="center"/>
    </w:pPr>
    <w:rPr>
      <w:spacing w:val="-5"/>
      <w:sz w:val="21"/>
      <w:szCs w:val="21"/>
    </w:rPr>
  </w:style>
  <w:style w:type="paragraph" w:styleId="16">
    <w:name w:val="toc 1"/>
    <w:basedOn w:val="1"/>
    <w:next w:val="1"/>
    <w:qFormat/>
    <w:uiPriority w:val="39"/>
    <w:pPr>
      <w:tabs>
        <w:tab w:val="clear" w:pos="377"/>
      </w:tabs>
    </w:pPr>
  </w:style>
  <w:style w:type="paragraph" w:styleId="17">
    <w:name w:val="toc 6"/>
    <w:basedOn w:val="1"/>
    <w:next w:val="1"/>
    <w:semiHidden/>
    <w:qFormat/>
    <w:uiPriority w:val="0"/>
    <w:pPr>
      <w:widowControl w:val="0"/>
      <w:tabs>
        <w:tab w:val="clear" w:pos="377"/>
      </w:tabs>
      <w:spacing w:line="240" w:lineRule="auto"/>
      <w:ind w:left="2100" w:leftChars="1000"/>
    </w:pPr>
    <w:rPr>
      <w:kern w:val="2"/>
      <w:sz w:val="21"/>
    </w:rPr>
  </w:style>
  <w:style w:type="paragraph" w:styleId="18">
    <w:name w:val="toc 2"/>
    <w:basedOn w:val="1"/>
    <w:next w:val="1"/>
    <w:qFormat/>
    <w:uiPriority w:val="39"/>
    <w:pPr>
      <w:tabs>
        <w:tab w:val="clear" w:pos="377"/>
      </w:tabs>
      <w:ind w:left="420" w:leftChars="200"/>
    </w:pPr>
  </w:style>
  <w:style w:type="paragraph" w:styleId="1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377"/>
      </w:tabs>
      <w:spacing w:line="320" w:lineRule="atLeast"/>
      <w:jc w:val="left"/>
    </w:pPr>
    <w:rPr>
      <w:rFonts w:ascii="_x000B__x000C_" w:hAnsi="_x000B__x000C_" w:eastAsia="黑体" w:cs="Courier New"/>
    </w:rPr>
  </w:style>
  <w:style w:type="paragraph" w:styleId="20">
    <w:name w:val="Normal (Web)"/>
    <w:basedOn w:val="1"/>
    <w:qFormat/>
    <w:uiPriority w:val="0"/>
  </w:style>
  <w:style w:type="paragraph" w:styleId="21">
    <w:name w:val="annotation subject"/>
    <w:basedOn w:val="9"/>
    <w:next w:val="9"/>
    <w:link w:val="46"/>
    <w:semiHidden/>
    <w:unhideWhenUsed/>
    <w:qFormat/>
    <w:uiPriority w:val="0"/>
    <w:rPr>
      <w:b/>
      <w:bCs/>
    </w:rPr>
  </w:style>
  <w:style w:type="table" w:styleId="23">
    <w:name w:val="Table Grid"/>
    <w:basedOn w:val="22"/>
    <w:qFormat/>
    <w:uiPriority w:val="0"/>
    <w:pPr>
      <w:widowControl w:val="0"/>
      <w:spacing w:line="312"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Emphasis"/>
    <w:qFormat/>
    <w:uiPriority w:val="20"/>
    <w:rPr>
      <w:i/>
      <w:iCs/>
    </w:rPr>
  </w:style>
  <w:style w:type="character" w:styleId="28">
    <w:name w:val="Hyperlink"/>
    <w:qFormat/>
    <w:uiPriority w:val="99"/>
    <w:rPr>
      <w:color w:val="0000FF"/>
      <w:u w:val="single"/>
    </w:rPr>
  </w:style>
  <w:style w:type="character" w:styleId="29">
    <w:name w:val="annotation reference"/>
    <w:qFormat/>
    <w:uiPriority w:val="0"/>
    <w:rPr>
      <w:sz w:val="21"/>
      <w:szCs w:val="21"/>
    </w:rPr>
  </w:style>
  <w:style w:type="character" w:customStyle="1" w:styleId="30">
    <w:name w:val="图名中文 Char"/>
    <w:link w:val="31"/>
    <w:qFormat/>
    <w:uiPriority w:val="0"/>
    <w:rPr>
      <w:rFonts w:ascii="宋体" w:hAnsi="宋体" w:eastAsia="宋体"/>
      <w:sz w:val="21"/>
      <w:szCs w:val="21"/>
      <w:lang w:val="en-US" w:eastAsia="en-US" w:bidi="en-US"/>
    </w:rPr>
  </w:style>
  <w:style w:type="paragraph" w:customStyle="1" w:styleId="31">
    <w:name w:val="图名中文"/>
    <w:basedOn w:val="1"/>
    <w:link w:val="30"/>
    <w:qFormat/>
    <w:uiPriority w:val="0"/>
    <w:pPr>
      <w:tabs>
        <w:tab w:val="clear" w:pos="377"/>
      </w:tabs>
      <w:snapToGrid w:val="0"/>
      <w:ind w:firstLine="480" w:firstLineChars="200"/>
      <w:jc w:val="center"/>
    </w:pPr>
    <w:rPr>
      <w:rFonts w:ascii="宋体" w:hAnsi="宋体"/>
      <w:sz w:val="21"/>
      <w:szCs w:val="21"/>
      <w:lang w:eastAsia="en-US" w:bidi="en-US"/>
    </w:rPr>
  </w:style>
  <w:style w:type="character" w:customStyle="1" w:styleId="32">
    <w:name w:val="关键词题头 Char"/>
    <w:qFormat/>
    <w:uiPriority w:val="0"/>
    <w:rPr>
      <w:rFonts w:ascii="黑体" w:eastAsia="黑体"/>
      <w:sz w:val="24"/>
      <w:szCs w:val="24"/>
      <w:lang w:bidi="en-US"/>
    </w:rPr>
  </w:style>
  <w:style w:type="character" w:customStyle="1" w:styleId="33">
    <w:name w:val="页眉 字符"/>
    <w:link w:val="15"/>
    <w:qFormat/>
    <w:uiPriority w:val="99"/>
    <w:rPr>
      <w:spacing w:val="-5"/>
      <w:sz w:val="21"/>
      <w:szCs w:val="21"/>
    </w:rPr>
  </w:style>
  <w:style w:type="character" w:customStyle="1" w:styleId="34">
    <w:name w:val="关键词 Char"/>
    <w:qFormat/>
    <w:uiPriority w:val="0"/>
    <w:rPr>
      <w:rFonts w:ascii="仿宋_GB2312" w:eastAsia="仿宋_GB2312"/>
      <w:sz w:val="24"/>
      <w:szCs w:val="24"/>
      <w:lang w:bidi="en-US"/>
    </w:rPr>
  </w:style>
  <w:style w:type="character" w:customStyle="1" w:styleId="35">
    <w:name w:val="参考文献正文 Char"/>
    <w:link w:val="36"/>
    <w:qFormat/>
    <w:uiPriority w:val="0"/>
    <w:rPr>
      <w:rFonts w:ascii="宋体" w:hAnsi="宋体" w:eastAsia="宋体"/>
      <w:sz w:val="21"/>
      <w:szCs w:val="21"/>
      <w:lang w:val="en-US" w:eastAsia="zh-CN" w:bidi="en-US"/>
    </w:rPr>
  </w:style>
  <w:style w:type="paragraph" w:customStyle="1" w:styleId="36">
    <w:name w:val="参考文献正文"/>
    <w:basedOn w:val="1"/>
    <w:link w:val="35"/>
    <w:qFormat/>
    <w:uiPriority w:val="0"/>
    <w:pPr>
      <w:tabs>
        <w:tab w:val="clear" w:pos="377"/>
      </w:tabs>
      <w:snapToGrid w:val="0"/>
      <w:ind w:firstLine="480" w:firstLineChars="200"/>
      <w:jc w:val="left"/>
    </w:pPr>
    <w:rPr>
      <w:rFonts w:ascii="宋体" w:hAnsi="宋体"/>
      <w:sz w:val="21"/>
      <w:szCs w:val="21"/>
      <w:lang w:bidi="en-US"/>
    </w:rPr>
  </w:style>
  <w:style w:type="character" w:customStyle="1" w:styleId="37">
    <w:name w:val="图名英文 Char"/>
    <w:link w:val="38"/>
    <w:qFormat/>
    <w:uiPriority w:val="0"/>
    <w:rPr>
      <w:rFonts w:eastAsia="宋体"/>
      <w:sz w:val="21"/>
      <w:szCs w:val="21"/>
      <w:lang w:val="en-US" w:eastAsia="en-US" w:bidi="en-US"/>
    </w:rPr>
  </w:style>
  <w:style w:type="paragraph" w:customStyle="1" w:styleId="38">
    <w:name w:val="图名英文"/>
    <w:basedOn w:val="1"/>
    <w:link w:val="37"/>
    <w:qFormat/>
    <w:uiPriority w:val="0"/>
    <w:pPr>
      <w:tabs>
        <w:tab w:val="clear" w:pos="377"/>
      </w:tabs>
      <w:snapToGrid w:val="0"/>
      <w:ind w:firstLine="480" w:firstLineChars="200"/>
      <w:jc w:val="center"/>
    </w:pPr>
    <w:rPr>
      <w:sz w:val="21"/>
      <w:szCs w:val="21"/>
      <w:lang w:eastAsia="en-US" w:bidi="en-US"/>
    </w:rPr>
  </w:style>
  <w:style w:type="character" w:customStyle="1" w:styleId="39">
    <w:name w:val="正文1 Char"/>
    <w:link w:val="40"/>
    <w:qFormat/>
    <w:uiPriority w:val="0"/>
    <w:rPr>
      <w:rFonts w:eastAsia="宋体"/>
      <w:sz w:val="24"/>
      <w:lang w:val="en-US" w:eastAsia="en-US" w:bidi="en-US"/>
    </w:rPr>
  </w:style>
  <w:style w:type="paragraph" w:customStyle="1" w:styleId="40">
    <w:name w:val="正文1"/>
    <w:basedOn w:val="1"/>
    <w:link w:val="39"/>
    <w:qFormat/>
    <w:uiPriority w:val="0"/>
    <w:pPr>
      <w:tabs>
        <w:tab w:val="clear" w:pos="377"/>
      </w:tabs>
      <w:snapToGrid w:val="0"/>
      <w:ind w:firstLine="480" w:firstLineChars="200"/>
      <w:jc w:val="left"/>
    </w:pPr>
    <w:rPr>
      <w:szCs w:val="20"/>
      <w:lang w:eastAsia="en-US" w:bidi="en-US"/>
    </w:rPr>
  </w:style>
  <w:style w:type="character" w:customStyle="1" w:styleId="41">
    <w:name w:val="英文关键词 Char"/>
    <w:qFormat/>
    <w:uiPriority w:val="0"/>
    <w:rPr>
      <w:rFonts w:ascii="Calibri" w:hAnsi="Calibri" w:eastAsia="宋体"/>
      <w:sz w:val="24"/>
      <w:szCs w:val="24"/>
      <w:lang w:eastAsia="en-US" w:bidi="en-US"/>
    </w:rPr>
  </w:style>
  <w:style w:type="paragraph" w:customStyle="1" w:styleId="42">
    <w:name w:val="样式 参考文献标题 + 段后: 1 行"/>
    <w:basedOn w:val="1"/>
    <w:qFormat/>
    <w:uiPriority w:val="0"/>
    <w:pPr>
      <w:keepNext/>
      <w:tabs>
        <w:tab w:val="clear" w:pos="377"/>
      </w:tabs>
      <w:snapToGrid w:val="0"/>
      <w:spacing w:afterLines="100" w:line="360" w:lineRule="auto"/>
      <w:jc w:val="center"/>
      <w:outlineLvl w:val="0"/>
    </w:pPr>
    <w:rPr>
      <w:rFonts w:ascii="Cambria" w:hAnsi="Cambria" w:eastAsia="黑体" w:cs="宋体"/>
      <w:kern w:val="32"/>
      <w:sz w:val="30"/>
      <w:szCs w:val="20"/>
      <w:lang w:bidi="en-US"/>
    </w:rPr>
  </w:style>
  <w:style w:type="paragraph" w:customStyle="1" w:styleId="43">
    <w:name w:val="样式 标题 1 + 段后: 1 行"/>
    <w:basedOn w:val="2"/>
    <w:qFormat/>
    <w:uiPriority w:val="0"/>
    <w:pPr>
      <w:keepLines w:val="0"/>
      <w:tabs>
        <w:tab w:val="clear" w:pos="377"/>
      </w:tabs>
      <w:snapToGrid w:val="0"/>
      <w:spacing w:afterLines="100"/>
      <w:jc w:val="left"/>
    </w:pPr>
    <w:rPr>
      <w:rFonts w:ascii="Cambria" w:hAnsi="Cambria" w:cs="宋体"/>
      <w:bCs w:val="0"/>
      <w:kern w:val="32"/>
      <w:szCs w:val="20"/>
      <w:lang w:bidi="en-US"/>
    </w:rPr>
  </w:style>
  <w:style w:type="character" w:customStyle="1" w:styleId="44">
    <w:name w:val="标题 1 字符"/>
    <w:link w:val="2"/>
    <w:qFormat/>
    <w:uiPriority w:val="0"/>
    <w:rPr>
      <w:rFonts w:ascii="黑体" w:eastAsia="黑体"/>
      <w:bCs/>
      <w:kern w:val="44"/>
      <w:sz w:val="30"/>
      <w:szCs w:val="30"/>
    </w:rPr>
  </w:style>
  <w:style w:type="character" w:customStyle="1" w:styleId="45">
    <w:name w:val="批注文字 字符"/>
    <w:link w:val="9"/>
    <w:qFormat/>
    <w:uiPriority w:val="0"/>
    <w:rPr>
      <w:sz w:val="24"/>
      <w:szCs w:val="24"/>
    </w:rPr>
  </w:style>
  <w:style w:type="character" w:customStyle="1" w:styleId="46">
    <w:name w:val="批注主题 字符"/>
    <w:link w:val="21"/>
    <w:semiHidden/>
    <w:qFormat/>
    <w:uiPriority w:val="0"/>
    <w:rPr>
      <w:b/>
      <w:bCs/>
      <w:sz w:val="24"/>
      <w:szCs w:val="24"/>
    </w:rPr>
  </w:style>
  <w:style w:type="character" w:customStyle="1" w:styleId="47">
    <w:name w:val="日期 字符"/>
    <w:link w:val="12"/>
    <w:qFormat/>
    <w:uiPriority w:val="0"/>
    <w:rPr>
      <w:rFonts w:ascii="仿宋_GB2312" w:hAnsi="宋体" w:eastAsia="仿宋_GB2312" w:cs="Courier New"/>
      <w:kern w:val="2"/>
      <w:sz w:val="28"/>
      <w:szCs w:val="21"/>
    </w:rPr>
  </w:style>
  <w:style w:type="paragraph" w:styleId="48">
    <w:name w:val="No Spacing"/>
    <w:qFormat/>
    <w:uiPriority w:val="1"/>
    <w:rPr>
      <w:rFonts w:ascii="Times New Roman" w:hAnsi="Times New Roman" w:eastAsia="宋体" w:cs="Times New Roman"/>
      <w:sz w:val="21"/>
      <w:lang w:val="en-GB" w:eastAsia="zh-CN" w:bidi="ar-SA"/>
    </w:rPr>
  </w:style>
  <w:style w:type="paragraph" w:customStyle="1" w:styleId="49">
    <w:name w:val="正文表格"/>
    <w:basedOn w:val="1"/>
    <w:autoRedefine/>
    <w:qFormat/>
    <w:uiPriority w:val="0"/>
    <w:pPr>
      <w:spacing w:line="400" w:lineRule="exact"/>
      <w:jc w:val="center"/>
    </w:pPr>
    <w:rPr>
      <w:rFonts w:cs="宋体"/>
      <w:bCs/>
      <w:sz w:val="18"/>
      <w:szCs w:val="18"/>
      <w:lang w:val="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1.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wmf"/><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wmf"/><Relationship Id="rId28" Type="http://schemas.openxmlformats.org/officeDocument/2006/relationships/image" Target="media/image8.wmf"/><Relationship Id="rId27" Type="http://schemas.openxmlformats.org/officeDocument/2006/relationships/image" Target="media/image7.wmf"/><Relationship Id="rId26" Type="http://schemas.openxmlformats.org/officeDocument/2006/relationships/image" Target="media/image6.wmf"/><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http://www.jluat.edu.cn/kindeditor/jlucc/2019-04-02_5d6a010c-7822-4737-af71-9de3ee1d5446.png" TargetMode="External"/><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footer" Target="footer4.xml"/><Relationship Id="rId13" Type="http://schemas.openxmlformats.org/officeDocument/2006/relationships/footer" Target="footer3.xml"/><Relationship Id="rId12" Type="http://schemas.openxmlformats.org/officeDocument/2006/relationships/footer" Target="footer2.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Administrator\&#26700;&#38754;\&#22823;&#36830;&#29702;&#24037;&#22823;&#23398;&#23398;&#22763;&#23398;&#20301;&#35770;&#25991;&#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大连理工大学学士学位论文模板.dot</Template>
  <Company>www.deepin.net.cn</Company>
  <Pages>63</Pages>
  <Words>3124</Words>
  <Characters>4009</Characters>
  <Lines>1299</Lines>
  <Paragraphs>1542</Paragraphs>
  <TotalTime>0</TotalTime>
  <ScaleCrop>false</ScaleCrop>
  <LinksUpToDate>false</LinksUpToDate>
  <CharactersWithSpaces>4619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2019-12-08T06:59:00Z</dcterms:created>
  <dc:creator>tomtree</dc:creator>
  <cp:lastModifiedBy>嗯哼？</cp:lastModifiedBy>
  <cp:lastPrinted>2022-02-20T02:10:00Z</cp:lastPrinted>
  <dcterms:modified xsi:type="dcterms:W3CDTF">2026-05-26T13:54:03Z</dcterms:modified>
  <dc:subject>模板</dc:subject>
  <dc:title>大连理工大学本科毕业设计（论文）模板</dc:title>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vt:lpwstr>6</vt:lpwstr>
  </property>
  <property fmtid="{D5CDD505-2E9C-101B-9397-08002B2CF9AE}" pid="3" name="KSOProductBuildVer">
    <vt:lpwstr>2052-12.1.0.26375</vt:lpwstr>
  </property>
  <property fmtid="{D5CDD505-2E9C-101B-9397-08002B2CF9AE}" pid="4" name="ICV">
    <vt:lpwstr>A14F921637194019A6412EFCE845FBF8_13</vt:lpwstr>
  </property>
  <property fmtid="{D5CDD505-2E9C-101B-9397-08002B2CF9AE}" pid="5" name="KSOTemplateDocerSaveRecord">
    <vt:lpwstr>eyJoZGlkIjoiZDY5NjgxZDQyZjFhN2UzMWQ2NDAzM2JmZDc1YzIxNDIiLCJ1c2VySWQiOiIzODAxNDM5OTcifQ==</vt:lpwstr>
  </property>
</Properties>
</file>