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D82878">
      <w:pPr>
        <w:pStyle w:val="2"/>
      </w:pPr>
      <w:r>
        <w:t>琼海项目光伏建筑一体化（BIPV）绿色技术应用说明</w:t>
      </w:r>
    </w:p>
    <w:p w14:paraId="735E27A1">
      <w:pPr>
        <w:pStyle w:val="3"/>
      </w:pPr>
      <w:r>
        <w:t>一、技术选型：单晶硅光伏组件建筑一体化应用</w:t>
      </w:r>
    </w:p>
    <w:p w14:paraId="61253F2E">
      <w:pPr>
        <w:pStyle w:val="19"/>
      </w:pPr>
      <w:r>
        <w:t>本次选取的绿色技术为</w:t>
      </w:r>
      <w:r>
        <w:rPr>
          <w:b/>
          <w:bCs/>
        </w:rPr>
        <w:t>单晶硅光伏组件建筑一体化（BIPV）技术</w:t>
      </w:r>
      <w:r>
        <w:t>，属于可再生能源利用类新技术。该技术通过将光伏组件与建筑屋顶、外立面等部位一体化设计，既实现太阳能发电功能，又替代传统建筑围护材料，兼顾能源生产与建筑功能需求，是“双碳”目标下建筑领域的核心绿色技术之一。</w:t>
      </w:r>
    </w:p>
    <w:p w14:paraId="6782ECFC">
      <w:pPr>
        <w:pStyle w:val="3"/>
      </w:pPr>
      <w:r>
        <w:t>二、技术可行性与多专业适配性平衡</w:t>
      </w:r>
    </w:p>
    <w:p w14:paraId="4401C746">
      <w:pPr>
        <w:pStyle w:val="4"/>
      </w:pPr>
      <w:r>
        <w:t>（一）技术可行性保障</w:t>
      </w:r>
    </w:p>
    <w:p w14:paraId="205ED7D4">
      <w:pPr>
        <w:pStyle w:val="19"/>
        <w:numPr>
          <w:ilvl w:val="0"/>
          <w:numId w:val="1"/>
        </w:numPr>
      </w:pPr>
      <w:r>
        <w:t>资源适配：琼海属于C级太阳能资源丰富区域，年水平面总辐照量1295.0MJ/m²，峰值日照时数3.83h，直射比0.36，散射辐射较多，符合单晶硅组件对光照条件的适配要求（直射分量占比适中区域适配性最优）。</w:t>
      </w:r>
    </w:p>
    <w:p w14:paraId="04AB9DB0">
      <w:pPr>
        <w:pStyle w:val="8"/>
        <w:spacing w:before="240"/>
      </w:pPr>
      <w:r>
        <w:rPr>
          <w:rFonts w:hint="eastAsia" w:ascii="黑体" w:hAnsi="黑体" w:cs="宋体"/>
          <w:bCs/>
          <w:color w:val="000000"/>
          <w:szCs w:val="18"/>
          <w:lang w:val="en-US"/>
        </w:rPr>
        <w:t>当地太阳能资源</w:t>
      </w:r>
    </w:p>
    <w:tbl>
      <w:tblPr>
        <w:tblStyle w:val="21"/>
        <w:tblW w:w="9058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843"/>
        <w:gridCol w:w="2409"/>
        <w:gridCol w:w="1843"/>
        <w:gridCol w:w="1550"/>
      </w:tblGrid>
      <w:tr w14:paraId="55F3EF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413" w:type="dxa"/>
            <w:tcBorders>
              <w:bottom w:val="nil"/>
            </w:tcBorders>
            <w:shd w:val="clear" w:color="auto" w:fill="C0504D" w:themeFill="accent2"/>
            <w:vAlign w:val="center"/>
          </w:tcPr>
          <w:p w14:paraId="2EDAB541">
            <w:pPr>
              <w:jc w:val="center"/>
              <w:rPr>
                <w:b w:val="0"/>
                <w:bCs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  <w:t>地点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0504D" w:themeFill="accent2"/>
            <w:vAlign w:val="center"/>
          </w:tcPr>
          <w:p w14:paraId="416F8FA3">
            <w:pPr>
              <w:jc w:val="center"/>
              <w:rPr>
                <w:b w:val="0"/>
                <w:bCs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  <w:t>水平面年总辐照量</w:t>
            </w:r>
            <w:r>
              <w:rPr>
                <w:rFonts w:eastAsia="等线"/>
                <w:b w:val="0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MJ/(m</w:t>
            </w:r>
            <w:r>
              <w:rPr>
                <w:rFonts w:eastAsia="等线"/>
                <w:b w:val="0"/>
                <w:bCs/>
                <w:color w:val="FFFFFF" w:themeColor="background1"/>
                <w:szCs w:val="21"/>
                <w:vertAlign w:val="superscript"/>
                <w14:textFill>
                  <w14:solidFill>
                    <w14:schemeClr w14:val="bg1"/>
                  </w14:solidFill>
                </w14:textFill>
              </w:rPr>
              <w:t>2</w:t>
            </w:r>
            <w:r>
              <w:rPr>
                <w:rFonts w:hint="eastAsia"/>
                <w:b w:val="0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•</w:t>
            </w:r>
            <w:r>
              <w:rPr>
                <w:rFonts w:eastAsia="等线"/>
                <w:b w:val="0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a)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C0504D" w:themeFill="accent2"/>
            <w:vAlign w:val="center"/>
          </w:tcPr>
          <w:p w14:paraId="7C5EE8DB">
            <w:pPr>
              <w:jc w:val="center"/>
              <w:rPr>
                <w:b w:val="0"/>
                <w:bCs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  <w:t>水平面年平均日辐照量</w:t>
            </w:r>
            <w:r>
              <w:rPr>
                <w:rFonts w:eastAsia="等线"/>
                <w:b w:val="0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KJ/(m</w:t>
            </w:r>
            <w:r>
              <w:rPr>
                <w:rFonts w:eastAsia="等线"/>
                <w:b w:val="0"/>
                <w:bCs/>
                <w:color w:val="FFFFFF" w:themeColor="background1"/>
                <w:szCs w:val="21"/>
                <w:vertAlign w:val="superscript"/>
                <w14:textFill>
                  <w14:solidFill>
                    <w14:schemeClr w14:val="bg1"/>
                  </w14:solidFill>
                </w14:textFill>
              </w:rPr>
              <w:t>2</w:t>
            </w:r>
            <w:r>
              <w:rPr>
                <w:rFonts w:hint="eastAsia" w:ascii="宋体" w:hAnsi="宋体"/>
                <w:b w:val="0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•</w:t>
            </w:r>
            <w:r>
              <w:rPr>
                <w:rFonts w:hint="eastAsia" w:eastAsia="等线"/>
                <w:b w:val="0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day</w:t>
            </w:r>
            <w:r>
              <w:rPr>
                <w:rFonts w:eastAsia="等线"/>
                <w:b w:val="0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0504D" w:themeFill="accent2"/>
            <w:vAlign w:val="center"/>
          </w:tcPr>
          <w:p w14:paraId="617BB2ED">
            <w:pPr>
              <w:jc w:val="center"/>
              <w:rPr>
                <w:b w:val="0"/>
                <w:bCs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  <w:t>日照时数</w:t>
            </w:r>
          </w:p>
          <w:p w14:paraId="01194C69">
            <w:pPr>
              <w:jc w:val="center"/>
              <w:rPr>
                <w:b w:val="0"/>
                <w:bCs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  <w:t>h</w:t>
            </w:r>
          </w:p>
        </w:tc>
        <w:tc>
          <w:tcPr>
            <w:tcW w:w="1550" w:type="dxa"/>
            <w:tcBorders>
              <w:bottom w:val="nil"/>
            </w:tcBorders>
            <w:shd w:val="clear" w:color="auto" w:fill="C0504D" w:themeFill="accent2"/>
            <w:vAlign w:val="center"/>
          </w:tcPr>
          <w:p w14:paraId="2A1D363C">
            <w:pPr>
              <w:jc w:val="center"/>
              <w:rPr>
                <w:b/>
                <w:bCs w:val="0"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  <w:t>峰值日照时数</w:t>
            </w:r>
          </w:p>
          <w:p w14:paraId="1D41349E">
            <w:pPr>
              <w:jc w:val="center"/>
              <w:rPr>
                <w:b w:val="0"/>
                <w:bCs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  <w:t>h</w:t>
            </w:r>
          </w:p>
        </w:tc>
      </w:tr>
      <w:tr w14:paraId="7E132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413" w:type="dxa"/>
            <w:shd w:val="clear" w:color="auto" w:fill="EAF1DD" w:themeFill="accent3" w:themeFillTint="33"/>
            <w:vAlign w:val="center"/>
          </w:tcPr>
          <w:p w14:paraId="1479DA99">
            <w:pPr>
              <w:pStyle w:val="9"/>
              <w:jc w:val="center"/>
              <w:rPr>
                <w:b/>
                <w:bCs/>
                <w:sz w:val="21"/>
                <w:lang w:val="en-US"/>
              </w:rPr>
            </w:pPr>
            <w:bookmarkStart w:id="0" w:name="工程地点3"/>
            <w:r>
              <w:rPr>
                <w:rFonts w:hint="eastAsia"/>
                <w:b/>
                <w:bCs/>
                <w:sz w:val="21"/>
                <w:lang w:val="en-US"/>
              </w:rPr>
              <w:t>琼海</w:t>
            </w:r>
            <w:bookmarkEnd w:id="0"/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14:paraId="4F7BBC76">
            <w:pPr>
              <w:pStyle w:val="9"/>
              <w:jc w:val="center"/>
              <w:rPr>
                <w:sz w:val="21"/>
                <w:lang w:val="en-US"/>
              </w:rPr>
            </w:pPr>
            <w:bookmarkStart w:id="1" w:name="水平面年总辐照量"/>
            <w:r>
              <w:rPr>
                <w:rFonts w:hint="eastAsia"/>
                <w:sz w:val="21"/>
                <w:lang w:val="en-US"/>
              </w:rPr>
              <w:t>1295.0</w:t>
            </w:r>
            <w:bookmarkEnd w:id="1"/>
          </w:p>
        </w:tc>
        <w:tc>
          <w:tcPr>
            <w:tcW w:w="2409" w:type="dxa"/>
            <w:shd w:val="clear" w:color="auto" w:fill="EAF1DD" w:themeFill="accent3" w:themeFillTint="33"/>
            <w:vAlign w:val="center"/>
          </w:tcPr>
          <w:p w14:paraId="6D00CE57">
            <w:pPr>
              <w:pStyle w:val="9"/>
              <w:jc w:val="center"/>
              <w:rPr>
                <w:sz w:val="21"/>
                <w:lang w:val="en-US"/>
              </w:rPr>
            </w:pPr>
            <w:bookmarkStart w:id="2" w:name="水平面日辐照量"/>
            <w:r>
              <w:rPr>
                <w:rFonts w:hint="eastAsia"/>
                <w:sz w:val="21"/>
                <w:lang w:val="en-US"/>
              </w:rPr>
              <w:t>12772.2</w:t>
            </w:r>
            <w:bookmarkEnd w:id="2"/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14:paraId="36233035">
            <w:pPr>
              <w:pStyle w:val="9"/>
              <w:jc w:val="center"/>
              <w:rPr>
                <w:sz w:val="21"/>
                <w:lang w:val="en-US"/>
              </w:rPr>
            </w:pPr>
            <w:bookmarkStart w:id="3" w:name="总日照时数"/>
            <w:r>
              <w:rPr>
                <w:color w:val="000000"/>
                <w:sz w:val="21"/>
              </w:rPr>
              <w:t>2875</w:t>
            </w:r>
            <w:bookmarkEnd w:id="3"/>
          </w:p>
        </w:tc>
        <w:tc>
          <w:tcPr>
            <w:tcW w:w="1550" w:type="dxa"/>
            <w:shd w:val="clear" w:color="auto" w:fill="EAF1DD" w:themeFill="accent3" w:themeFillTint="33"/>
            <w:vAlign w:val="center"/>
          </w:tcPr>
          <w:p w14:paraId="51912E10">
            <w:pPr>
              <w:pStyle w:val="9"/>
              <w:jc w:val="center"/>
              <w:rPr>
                <w:sz w:val="21"/>
                <w:lang w:val="en-US"/>
              </w:rPr>
            </w:pPr>
            <w:bookmarkStart w:id="4" w:name="峰值日照时数"/>
            <w:r>
              <w:rPr>
                <w:rFonts w:hint="eastAsia"/>
                <w:sz w:val="21"/>
                <w:lang w:val="en-US"/>
              </w:rPr>
              <w:t>3</w:t>
            </w:r>
            <w:r>
              <w:rPr>
                <w:sz w:val="21"/>
                <w:lang w:val="en-US"/>
              </w:rPr>
              <w:t>.83</w:t>
            </w:r>
            <w:bookmarkEnd w:id="4"/>
          </w:p>
        </w:tc>
      </w:tr>
    </w:tbl>
    <w:p w14:paraId="6BCB61F1">
      <w:pPr>
        <w:rPr>
          <w:rFonts w:ascii="黑体" w:hAnsi="黑体" w:eastAsia="黑体" w:cs="宋体"/>
          <w:bCs/>
          <w:color w:val="000000"/>
          <w:szCs w:val="18"/>
          <w:lang w:val="en-US"/>
        </w:rPr>
      </w:pPr>
      <w:r>
        <w:rPr>
          <w:rFonts w:hint="eastAsia" w:ascii="黑体" w:hAnsi="黑体" w:eastAsia="黑体" w:cs="宋体"/>
          <w:bCs/>
          <w:color w:val="000000"/>
          <w:szCs w:val="18"/>
          <w:lang w:val="en-US"/>
        </w:rPr>
        <w:t>数据来源：</w:t>
      </w:r>
      <w:bookmarkStart w:id="5" w:name="气象数据来源"/>
      <w:r>
        <w:t>中国气象局</w:t>
      </w:r>
      <w:bookmarkEnd w:id="5"/>
    </w:p>
    <w:p w14:paraId="3CD63635">
      <w:pPr>
        <w:pStyle w:val="17"/>
        <w:numPr>
          <w:ilvl w:val="0"/>
          <w:numId w:val="2"/>
        </w:numPr>
        <w:ind w:left="840" w:leftChars="0" w:firstLineChars="0"/>
        <w:rPr>
          <w:b/>
          <w:sz w:val="24"/>
          <w:szCs w:val="21"/>
        </w:rPr>
      </w:pPr>
      <w:r>
        <w:rPr>
          <w:rFonts w:hint="eastAsia"/>
          <w:b/>
          <w:sz w:val="24"/>
          <w:szCs w:val="21"/>
        </w:rPr>
        <w:t>辐照量等级分析</w:t>
      </w:r>
    </w:p>
    <w:p w14:paraId="03A7E0C8">
      <w:pPr>
        <w:ind w:firstLine="480" w:firstLineChars="200"/>
        <w:rPr>
          <w:lang w:val="en-US"/>
        </w:rPr>
      </w:pPr>
      <w:r>
        <w:rPr>
          <w:rFonts w:hint="eastAsia"/>
          <w:sz w:val="24"/>
          <w:szCs w:val="21"/>
        </w:rPr>
        <w:t>根据《太阳能资源评估方法》（</w:t>
      </w:r>
      <w:r>
        <w:rPr>
          <w:sz w:val="24"/>
          <w:szCs w:val="21"/>
        </w:rPr>
        <w:t>GB/T37526—2019）的分类方法，太阳总辐射年辐照量</w:t>
      </w:r>
      <w:r>
        <w:rPr>
          <w:rFonts w:hint="eastAsia"/>
          <w:sz w:val="24"/>
          <w:szCs w:val="21"/>
        </w:rPr>
        <w:t>（G</w:t>
      </w:r>
      <w:r>
        <w:rPr>
          <w:sz w:val="24"/>
          <w:szCs w:val="21"/>
        </w:rPr>
        <w:t>HR</w:t>
      </w:r>
      <w:r>
        <w:rPr>
          <w:rFonts w:hint="eastAsia"/>
          <w:sz w:val="24"/>
          <w:szCs w:val="21"/>
        </w:rPr>
        <w:t>）</w:t>
      </w:r>
      <w:r>
        <w:rPr>
          <w:sz w:val="24"/>
          <w:szCs w:val="21"/>
        </w:rPr>
        <w:t>划分为四个等级：最丰富（A）、很丰富（B）、丰富（C）、一般（D）。</w:t>
      </w:r>
    </w:p>
    <w:p w14:paraId="7313B1A1">
      <w:pPr>
        <w:pStyle w:val="8"/>
        <w:spacing w:before="240"/>
        <w:rPr>
          <w:rFonts w:ascii="黑体" w:hAnsi="黑体" w:cs="宋体"/>
          <w:bCs/>
          <w:color w:val="000000"/>
          <w:lang w:val="en-US"/>
        </w:rPr>
      </w:pPr>
      <w:r>
        <w:rPr>
          <w:rFonts w:hint="eastAsia"/>
        </w:rPr>
        <w:t>年水平面总辐照量（G</w:t>
      </w:r>
      <w:r>
        <w:t>HR</w:t>
      </w:r>
      <w:r>
        <w:rPr>
          <w:rFonts w:hint="eastAsia"/>
        </w:rPr>
        <w:t>）等级</w:t>
      </w:r>
    </w:p>
    <w:tbl>
      <w:tblPr>
        <w:tblStyle w:val="13"/>
        <w:tblW w:w="857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605"/>
        <w:gridCol w:w="3348"/>
        <w:gridCol w:w="1204"/>
      </w:tblGrid>
      <w:tr w14:paraId="2108FF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413" w:type="dxa"/>
            <w:shd w:val="clear" w:color="auto" w:fill="C0504D" w:themeFill="accent2"/>
            <w:vAlign w:val="center"/>
          </w:tcPr>
          <w:p w14:paraId="4ED71E2E">
            <w:pPr>
              <w:spacing w:line="360" w:lineRule="exact"/>
              <w:jc w:val="center"/>
              <w:rPr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等级</w:t>
            </w:r>
            <w:r>
              <w:rPr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2605" w:type="dxa"/>
            <w:shd w:val="clear" w:color="auto" w:fill="C0504D" w:themeFill="accent2"/>
            <w:vAlign w:val="center"/>
          </w:tcPr>
          <w:p w14:paraId="07C3B26D">
            <w:pPr>
              <w:spacing w:line="360" w:lineRule="exact"/>
              <w:jc w:val="center"/>
              <w:rPr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年总量(MJ/m</w:t>
            </w:r>
            <w:r>
              <w:rPr>
                <w:b/>
                <w:color w:val="FFFFFF" w:themeColor="background1"/>
                <w:szCs w:val="21"/>
                <w:vertAlign w:val="superscript"/>
                <w14:textFill>
                  <w14:solidFill>
                    <w14:schemeClr w14:val="bg1"/>
                  </w14:solidFill>
                </w14:textFill>
              </w:rPr>
              <w:t>2</w:t>
            </w:r>
            <w:r>
              <w:rPr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3348" w:type="dxa"/>
            <w:shd w:val="clear" w:color="auto" w:fill="C0504D" w:themeFill="accent2"/>
            <w:vAlign w:val="center"/>
          </w:tcPr>
          <w:p w14:paraId="148EDD00">
            <w:pPr>
              <w:spacing w:line="360" w:lineRule="exact"/>
              <w:jc w:val="center"/>
              <w:rPr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年总量(kWh/m</w:t>
            </w:r>
            <w:r>
              <w:rPr>
                <w:b/>
                <w:color w:val="FFFFFF" w:themeColor="background1"/>
                <w:szCs w:val="21"/>
                <w:vertAlign w:val="superscript"/>
                <w14:textFill>
                  <w14:solidFill>
                    <w14:schemeClr w14:val="bg1"/>
                  </w14:solidFill>
                </w14:textFill>
              </w:rPr>
              <w:t>2</w:t>
            </w:r>
            <w:r>
              <w:rPr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1204" w:type="dxa"/>
            <w:shd w:val="clear" w:color="auto" w:fill="C0504D" w:themeFill="accent2"/>
            <w:vAlign w:val="center"/>
          </w:tcPr>
          <w:p w14:paraId="27D87E16">
            <w:pPr>
              <w:spacing w:line="360" w:lineRule="exact"/>
              <w:jc w:val="center"/>
              <w:rPr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等级符号</w:t>
            </w:r>
          </w:p>
        </w:tc>
      </w:tr>
      <w:tr w14:paraId="44C920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413" w:type="dxa"/>
            <w:tcBorders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18C4FC4C">
            <w:pPr>
              <w:spacing w:line="360" w:lineRule="exact"/>
              <w:jc w:val="center"/>
            </w:pPr>
            <w:r>
              <w:t>最丰富</w:t>
            </w:r>
          </w:p>
        </w:tc>
        <w:tc>
          <w:tcPr>
            <w:tcW w:w="2605" w:type="dxa"/>
            <w:tcBorders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6E6ABA5F">
            <w:pPr>
              <w:spacing w:line="360" w:lineRule="exact"/>
              <w:jc w:val="center"/>
            </w:pPr>
            <w:r>
              <w:t>GHR≥6 300</w:t>
            </w:r>
          </w:p>
        </w:tc>
        <w:tc>
          <w:tcPr>
            <w:tcW w:w="3348" w:type="dxa"/>
            <w:tcBorders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1FEE6FBF">
            <w:pPr>
              <w:spacing w:line="360" w:lineRule="exact"/>
              <w:jc w:val="center"/>
            </w:pPr>
            <w:r>
              <w:t>GHR≥1750</w:t>
            </w:r>
          </w:p>
        </w:tc>
        <w:tc>
          <w:tcPr>
            <w:tcW w:w="1204" w:type="dxa"/>
            <w:tcBorders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41E6E2AE">
            <w:pPr>
              <w:spacing w:line="360" w:lineRule="exact"/>
              <w:jc w:val="center"/>
            </w:pPr>
            <w:r>
              <w:rPr>
                <w:rFonts w:hint="eastAsia"/>
              </w:rPr>
              <w:t>A</w:t>
            </w:r>
          </w:p>
        </w:tc>
      </w:tr>
      <w:tr w14:paraId="258D2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413" w:type="dxa"/>
            <w:tcBorders>
              <w:top w:val="single" w:color="C0504D" w:themeColor="accent2" w:sz="4" w:space="0"/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7DCD44AB">
            <w:pPr>
              <w:spacing w:line="360" w:lineRule="exact"/>
              <w:jc w:val="center"/>
            </w:pPr>
            <w:r>
              <w:t>很丰富</w:t>
            </w:r>
          </w:p>
        </w:tc>
        <w:tc>
          <w:tcPr>
            <w:tcW w:w="2605" w:type="dxa"/>
            <w:tcBorders>
              <w:top w:val="single" w:color="C0504D" w:themeColor="accent2" w:sz="4" w:space="0"/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3AB3AF3B">
            <w:pPr>
              <w:spacing w:line="360" w:lineRule="exact"/>
              <w:jc w:val="center"/>
            </w:pPr>
            <w:r>
              <w:t>5040</w:t>
            </w:r>
            <w:r>
              <w:rPr>
                <w:rFonts w:hint="eastAsia"/>
              </w:rPr>
              <w:t>≤</w:t>
            </w:r>
            <w:r>
              <w:t>GHR</w:t>
            </w:r>
            <w:r>
              <w:rPr>
                <w:rFonts w:hint="eastAsia"/>
              </w:rPr>
              <w:t>＜</w:t>
            </w:r>
            <w:r>
              <w:t>6300</w:t>
            </w:r>
          </w:p>
        </w:tc>
        <w:tc>
          <w:tcPr>
            <w:tcW w:w="3348" w:type="dxa"/>
            <w:tcBorders>
              <w:top w:val="single" w:color="C0504D" w:themeColor="accent2" w:sz="4" w:space="0"/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51E44807">
            <w:pPr>
              <w:spacing w:line="360" w:lineRule="exact"/>
              <w:jc w:val="center"/>
            </w:pPr>
            <w:r>
              <w:t>1400</w:t>
            </w:r>
            <w:r>
              <w:rPr>
                <w:rFonts w:hint="eastAsia"/>
              </w:rPr>
              <w:t>≤</w:t>
            </w:r>
            <w:r>
              <w:t>GHR</w:t>
            </w:r>
            <w:r>
              <w:rPr>
                <w:rFonts w:hint="eastAsia"/>
              </w:rPr>
              <w:t>＜1</w:t>
            </w:r>
            <w:r>
              <w:t>750</w:t>
            </w:r>
          </w:p>
        </w:tc>
        <w:tc>
          <w:tcPr>
            <w:tcW w:w="1204" w:type="dxa"/>
            <w:tcBorders>
              <w:top w:val="single" w:color="C0504D" w:themeColor="accent2" w:sz="4" w:space="0"/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26153707">
            <w:pPr>
              <w:spacing w:line="360" w:lineRule="exact"/>
              <w:jc w:val="center"/>
            </w:pPr>
            <w:r>
              <w:rPr>
                <w:rFonts w:hint="eastAsia"/>
              </w:rPr>
              <w:t>B</w:t>
            </w:r>
          </w:p>
        </w:tc>
      </w:tr>
      <w:tr w14:paraId="734D04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413" w:type="dxa"/>
            <w:tcBorders>
              <w:top w:val="single" w:color="C0504D" w:themeColor="accent2" w:sz="4" w:space="0"/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76EC57C6">
            <w:pPr>
              <w:spacing w:line="360" w:lineRule="exact"/>
              <w:jc w:val="center"/>
            </w:pPr>
            <w:r>
              <w:t>丰富</w:t>
            </w:r>
          </w:p>
        </w:tc>
        <w:tc>
          <w:tcPr>
            <w:tcW w:w="2605" w:type="dxa"/>
            <w:tcBorders>
              <w:top w:val="single" w:color="C0504D" w:themeColor="accent2" w:sz="4" w:space="0"/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08E84273">
            <w:pPr>
              <w:spacing w:line="360" w:lineRule="exact"/>
              <w:jc w:val="center"/>
            </w:pPr>
            <w:r>
              <w:t>3780</w:t>
            </w:r>
            <w:r>
              <w:rPr>
                <w:rFonts w:hint="eastAsia"/>
              </w:rPr>
              <w:t>≤</w:t>
            </w:r>
            <w:r>
              <w:t>GHR</w:t>
            </w:r>
            <w:r>
              <w:rPr>
                <w:rFonts w:hint="eastAsia"/>
              </w:rPr>
              <w:t>＜5</w:t>
            </w:r>
            <w:r>
              <w:t>040</w:t>
            </w:r>
          </w:p>
        </w:tc>
        <w:tc>
          <w:tcPr>
            <w:tcW w:w="3348" w:type="dxa"/>
            <w:tcBorders>
              <w:top w:val="single" w:color="C0504D" w:themeColor="accent2" w:sz="4" w:space="0"/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4678DBB3">
            <w:pPr>
              <w:spacing w:line="360" w:lineRule="exact"/>
              <w:jc w:val="center"/>
            </w:pPr>
            <w:r>
              <w:t>1050</w:t>
            </w:r>
            <w:r>
              <w:rPr>
                <w:rFonts w:hint="eastAsia"/>
              </w:rPr>
              <w:t>≤</w:t>
            </w:r>
            <w:r>
              <w:t>GHR</w:t>
            </w:r>
            <w:r>
              <w:rPr>
                <w:rFonts w:hint="eastAsia"/>
              </w:rPr>
              <w:t>＜1</w:t>
            </w:r>
            <w:r>
              <w:t>400</w:t>
            </w:r>
          </w:p>
        </w:tc>
        <w:tc>
          <w:tcPr>
            <w:tcW w:w="1204" w:type="dxa"/>
            <w:tcBorders>
              <w:top w:val="single" w:color="C0504D" w:themeColor="accent2" w:sz="4" w:space="0"/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5FBF8555">
            <w:pPr>
              <w:spacing w:line="360" w:lineRule="exact"/>
              <w:jc w:val="center"/>
            </w:pPr>
            <w:r>
              <w:rPr>
                <w:rFonts w:hint="eastAsia"/>
              </w:rPr>
              <w:t>C</w:t>
            </w:r>
          </w:p>
        </w:tc>
      </w:tr>
      <w:tr w14:paraId="68E80F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413" w:type="dxa"/>
            <w:tcBorders>
              <w:top w:val="single" w:color="C0504D" w:themeColor="accent2" w:sz="4" w:space="0"/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114F98C5">
            <w:pPr>
              <w:spacing w:line="360" w:lineRule="exact"/>
              <w:jc w:val="center"/>
            </w:pPr>
            <w:r>
              <w:t>一般</w:t>
            </w:r>
          </w:p>
        </w:tc>
        <w:tc>
          <w:tcPr>
            <w:tcW w:w="2605" w:type="dxa"/>
            <w:tcBorders>
              <w:top w:val="single" w:color="C0504D" w:themeColor="accent2" w:sz="4" w:space="0"/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012AA29F">
            <w:pPr>
              <w:spacing w:line="360" w:lineRule="exact"/>
              <w:jc w:val="center"/>
            </w:pPr>
            <w:r>
              <w:t>GHR&lt;3780</w:t>
            </w:r>
          </w:p>
        </w:tc>
        <w:tc>
          <w:tcPr>
            <w:tcW w:w="3348" w:type="dxa"/>
            <w:tcBorders>
              <w:top w:val="single" w:color="C0504D" w:themeColor="accent2" w:sz="4" w:space="0"/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7BC7E219">
            <w:pPr>
              <w:spacing w:line="360" w:lineRule="exact"/>
              <w:jc w:val="center"/>
            </w:pPr>
            <w:r>
              <w:t>GHR&lt;1050</w:t>
            </w:r>
          </w:p>
        </w:tc>
        <w:tc>
          <w:tcPr>
            <w:tcW w:w="1204" w:type="dxa"/>
            <w:tcBorders>
              <w:top w:val="single" w:color="C0504D" w:themeColor="accent2" w:sz="4" w:space="0"/>
              <w:bottom w:val="single" w:color="C0504D" w:themeColor="accent2" w:sz="4" w:space="0"/>
            </w:tcBorders>
            <w:shd w:val="clear" w:color="auto" w:fill="FFFFFF" w:themeFill="background1"/>
            <w:vAlign w:val="center"/>
          </w:tcPr>
          <w:p w14:paraId="13155D45">
            <w:pPr>
              <w:spacing w:line="360" w:lineRule="exact"/>
              <w:jc w:val="center"/>
            </w:pPr>
            <w:r>
              <w:rPr>
                <w:rFonts w:hint="eastAsia"/>
              </w:rPr>
              <w:t>D</w:t>
            </w:r>
          </w:p>
        </w:tc>
      </w:tr>
    </w:tbl>
    <w:p w14:paraId="2F7A15A4">
      <w:pPr>
        <w:pStyle w:val="22"/>
        <w:spacing w:before="240"/>
        <w:ind w:firstLine="480" w:firstLineChars="200"/>
        <w:rPr>
          <w:rFonts w:asciiTheme="minorEastAsia" w:hAnsiTheme="minorEastAsia" w:eastAsiaTheme="minorEastAsia"/>
        </w:rPr>
      </w:pPr>
      <w:r>
        <w:rPr>
          <w:rFonts w:ascii="微软雅黑" w:hAnsi="微软雅黑" w:cs="微软雅黑"/>
          <w:sz w:val="24"/>
          <w:szCs w:val="21"/>
          <w:lang w:val="en-GB"/>
        </w:rPr>
        <w:t>本项目区域</w:t>
      </w:r>
      <w:r>
        <w:rPr>
          <w:rFonts w:hint="eastAsia" w:ascii="微软雅黑" w:hAnsi="微软雅黑" w:cs="微软雅黑"/>
          <w:sz w:val="24"/>
          <w:szCs w:val="21"/>
          <w:lang w:val="en-GB"/>
        </w:rPr>
        <w:t>水平面年总辐照量为</w:t>
      </w:r>
      <w:bookmarkStart w:id="6" w:name="水平面年总辐照量2"/>
      <w:r>
        <w:rPr>
          <w:rFonts w:hint="eastAsia" w:ascii="微软雅黑" w:hAnsi="微软雅黑" w:cs="微软雅黑"/>
          <w:sz w:val="24"/>
          <w:szCs w:val="21"/>
          <w:lang w:val="en-GB"/>
        </w:rPr>
        <w:t>1295.0</w:t>
      </w:r>
      <w:bookmarkEnd w:id="6"/>
      <w:r>
        <w:rPr>
          <w:rFonts w:hint="eastAsia" w:ascii="微软雅黑" w:hAnsi="微软雅黑" w:cs="微软雅黑"/>
          <w:sz w:val="24"/>
          <w:szCs w:val="21"/>
          <w:lang w:val="en-GB"/>
        </w:rPr>
        <w:t>MJ</w:t>
      </w:r>
      <w:r>
        <w:rPr>
          <w:rFonts w:ascii="微软雅黑" w:hAnsi="微软雅黑" w:cs="微软雅黑"/>
          <w:sz w:val="24"/>
          <w:szCs w:val="21"/>
          <w:lang w:val="en-GB"/>
        </w:rPr>
        <w:t>/m</w:t>
      </w:r>
      <w:r>
        <w:rPr>
          <w:rFonts w:ascii="微软雅黑" w:hAnsi="微软雅黑" w:cs="微软雅黑"/>
          <w:sz w:val="24"/>
          <w:szCs w:val="21"/>
          <w:vertAlign w:val="superscript"/>
          <w:lang w:val="en-GB"/>
        </w:rPr>
        <w:t>2</w:t>
      </w:r>
      <w:r>
        <w:rPr>
          <w:rFonts w:hint="eastAsia" w:ascii="微软雅黑" w:hAnsi="微软雅黑" w:cs="微软雅黑"/>
          <w:sz w:val="24"/>
          <w:szCs w:val="21"/>
          <w:lang w:val="en-GB"/>
        </w:rPr>
        <w:t>，</w:t>
      </w:r>
      <w:r>
        <w:rPr>
          <w:rFonts w:ascii="微软雅黑" w:hAnsi="微软雅黑" w:cs="微软雅黑"/>
          <w:sz w:val="24"/>
          <w:szCs w:val="21"/>
          <w:lang w:val="en-GB"/>
        </w:rPr>
        <w:t>属于</w:t>
      </w:r>
      <w:bookmarkStart w:id="7" w:name="资源等级"/>
      <w:r>
        <w:rPr>
          <w:rFonts w:hint="eastAsia" w:ascii="微软雅黑" w:hAnsi="微软雅黑" w:cs="微软雅黑"/>
          <w:sz w:val="24"/>
          <w:szCs w:val="21"/>
          <w:lang w:val="en-GB"/>
        </w:rPr>
        <w:t>C级太阳能资源丰富</w:t>
      </w:r>
      <w:bookmarkEnd w:id="7"/>
      <w:r>
        <w:rPr>
          <w:rFonts w:ascii="微软雅黑" w:hAnsi="微软雅黑" w:cs="微软雅黑"/>
          <w:sz w:val="24"/>
          <w:szCs w:val="21"/>
          <w:lang w:val="en-GB"/>
        </w:rPr>
        <w:t>区域。</w:t>
      </w:r>
    </w:p>
    <w:p w14:paraId="3DB5102C">
      <w:pPr>
        <w:pStyle w:val="17"/>
        <w:numPr>
          <w:ilvl w:val="0"/>
          <w:numId w:val="2"/>
        </w:numPr>
        <w:ind w:left="840" w:leftChars="0" w:firstLineChars="0"/>
        <w:rPr>
          <w:sz w:val="24"/>
          <w:szCs w:val="21"/>
        </w:rPr>
      </w:pPr>
      <w:r>
        <w:rPr>
          <w:rFonts w:hint="eastAsia"/>
          <w:b/>
          <w:sz w:val="24"/>
          <w:szCs w:val="21"/>
        </w:rPr>
        <w:t>直射比等级分析</w:t>
      </w:r>
    </w:p>
    <w:p w14:paraId="280930F7">
      <w:pPr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/>
          <w:sz w:val="24"/>
          <w:szCs w:val="21"/>
        </w:rPr>
        <w:t>直射比是水平面直接辐照量在水平面总辐照量中所占的比例。</w:t>
      </w:r>
      <w:r>
        <w:rPr>
          <w:sz w:val="24"/>
          <w:szCs w:val="21"/>
        </w:rPr>
        <w:t>根据《太阳能资源等级总辐射》（GB/T31155—2014）的分类方法，直射比划分为四个等级：很高（A）、高（B）、中（C）、低（D）</w:t>
      </w:r>
      <w:r>
        <w:rPr>
          <w:rFonts w:hint="eastAsia"/>
          <w:sz w:val="24"/>
          <w:szCs w:val="21"/>
        </w:rPr>
        <w:t>。</w:t>
      </w:r>
    </w:p>
    <w:p w14:paraId="63F54FC7">
      <w:pPr>
        <w:pStyle w:val="8"/>
        <w:spacing w:before="240"/>
        <w:rPr>
          <w:rFonts w:asciiTheme="minorEastAsia" w:hAnsiTheme="minorEastAsia" w:eastAsiaTheme="minorEastAsia"/>
        </w:rPr>
      </w:pPr>
      <w:r>
        <w:rPr>
          <w:rFonts w:hint="eastAsia"/>
        </w:rPr>
        <w:t>太阳能资源</w:t>
      </w:r>
      <w:r>
        <w:t>直射比</w:t>
      </w:r>
      <w:r>
        <w:rPr>
          <w:rFonts w:hint="eastAsia"/>
        </w:rPr>
        <w:t>（</w:t>
      </w:r>
      <w:r>
        <w:t>DHRR</w:t>
      </w:r>
      <w:r>
        <w:rPr>
          <w:rFonts w:hint="eastAsia"/>
        </w:rPr>
        <w:t>）</w:t>
      </w:r>
      <w:r>
        <w:t>等级</w:t>
      </w:r>
    </w:p>
    <w:tbl>
      <w:tblPr>
        <w:tblStyle w:val="13"/>
        <w:tblW w:w="857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33"/>
        <w:gridCol w:w="2285"/>
        <w:gridCol w:w="2267"/>
      </w:tblGrid>
      <w:tr w14:paraId="2787A8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985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C0504D" w:themeFill="accent2"/>
            <w:vAlign w:val="center"/>
          </w:tcPr>
          <w:p w14:paraId="61FF5747">
            <w:pPr>
              <w:spacing w:line="360" w:lineRule="exact"/>
              <w:jc w:val="center"/>
              <w:rPr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等级名称</w:t>
            </w:r>
          </w:p>
        </w:tc>
        <w:tc>
          <w:tcPr>
            <w:tcW w:w="2033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C0504D" w:themeFill="accent2"/>
            <w:vAlign w:val="center"/>
          </w:tcPr>
          <w:p w14:paraId="2E5964A6">
            <w:pPr>
              <w:spacing w:line="360" w:lineRule="exact"/>
              <w:jc w:val="center"/>
              <w:rPr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分级阈值</w:t>
            </w:r>
          </w:p>
        </w:tc>
        <w:tc>
          <w:tcPr>
            <w:tcW w:w="2285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C0504D" w:themeFill="accent2"/>
            <w:vAlign w:val="center"/>
          </w:tcPr>
          <w:p w14:paraId="3303BD10">
            <w:pPr>
              <w:spacing w:line="360" w:lineRule="exact"/>
              <w:jc w:val="center"/>
              <w:rPr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等级符号</w:t>
            </w:r>
          </w:p>
        </w:tc>
        <w:tc>
          <w:tcPr>
            <w:tcW w:w="2267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C0504D" w:themeFill="accent2"/>
            <w:vAlign w:val="center"/>
          </w:tcPr>
          <w:p w14:paraId="665DBBA6">
            <w:pPr>
              <w:spacing w:line="360" w:lineRule="exact"/>
              <w:jc w:val="center"/>
              <w:rPr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等级说明</w:t>
            </w:r>
          </w:p>
        </w:tc>
      </w:tr>
      <w:tr w14:paraId="488CB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985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30734101">
            <w:pPr>
              <w:spacing w:line="360" w:lineRule="exact"/>
              <w:jc w:val="center"/>
            </w:pPr>
            <w:r>
              <w:rPr>
                <w:rFonts w:hint="eastAsia"/>
              </w:rPr>
              <w:t>很高</w:t>
            </w:r>
          </w:p>
        </w:tc>
        <w:tc>
          <w:tcPr>
            <w:tcW w:w="2033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13F3A83A">
            <w:pPr>
              <w:spacing w:line="360" w:lineRule="exact"/>
              <w:jc w:val="center"/>
            </w:pPr>
            <w:r>
              <w:t>DHRR≥0.6</w:t>
            </w:r>
          </w:p>
        </w:tc>
        <w:tc>
          <w:tcPr>
            <w:tcW w:w="2285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1FB1F5F0">
            <w:pPr>
              <w:spacing w:line="360" w:lineRule="exact"/>
              <w:jc w:val="center"/>
            </w:pPr>
            <w:r>
              <w:t>A</w:t>
            </w:r>
          </w:p>
        </w:tc>
        <w:tc>
          <w:tcPr>
            <w:tcW w:w="2267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61B1AF4C">
            <w:pPr>
              <w:spacing w:line="360" w:lineRule="exact"/>
              <w:jc w:val="center"/>
            </w:pPr>
            <w:r>
              <w:t>直接辐射主导</w:t>
            </w:r>
          </w:p>
        </w:tc>
      </w:tr>
      <w:tr w14:paraId="70CAC3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985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6D1531C9">
            <w:pPr>
              <w:spacing w:line="360" w:lineRule="exact"/>
              <w:jc w:val="center"/>
            </w:pPr>
            <w:r>
              <w:rPr>
                <w:rFonts w:hint="eastAsia"/>
              </w:rPr>
              <w:t>高</w:t>
            </w:r>
          </w:p>
        </w:tc>
        <w:tc>
          <w:tcPr>
            <w:tcW w:w="2033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7D353CE3">
            <w:pPr>
              <w:spacing w:line="360" w:lineRule="exact"/>
              <w:jc w:val="center"/>
            </w:pPr>
            <w:r>
              <w:t>0.5≤DHRR＜0.6</w:t>
            </w:r>
          </w:p>
        </w:tc>
        <w:tc>
          <w:tcPr>
            <w:tcW w:w="2285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5F780033">
            <w:pPr>
              <w:spacing w:line="360" w:lineRule="exact"/>
              <w:jc w:val="center"/>
            </w:pPr>
            <w:r>
              <w:t>B</w:t>
            </w:r>
          </w:p>
        </w:tc>
        <w:tc>
          <w:tcPr>
            <w:tcW w:w="2267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2E170E1D">
            <w:pPr>
              <w:spacing w:line="360" w:lineRule="exact"/>
              <w:jc w:val="center"/>
            </w:pPr>
            <w:r>
              <w:t>直接辐射较多</w:t>
            </w:r>
          </w:p>
        </w:tc>
      </w:tr>
      <w:tr w14:paraId="153E6E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985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1AF7FFEB">
            <w:pPr>
              <w:spacing w:line="360" w:lineRule="exact"/>
              <w:jc w:val="center"/>
            </w:pPr>
            <w:r>
              <w:rPr>
                <w:rFonts w:hint="eastAsia"/>
              </w:rPr>
              <w:t>中</w:t>
            </w:r>
          </w:p>
        </w:tc>
        <w:tc>
          <w:tcPr>
            <w:tcW w:w="2033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53B5584B">
            <w:pPr>
              <w:spacing w:line="360" w:lineRule="exact"/>
              <w:jc w:val="center"/>
            </w:pPr>
            <w:r>
              <w:t>0.35≤DHRR＜0.5</w:t>
            </w:r>
          </w:p>
        </w:tc>
        <w:tc>
          <w:tcPr>
            <w:tcW w:w="2285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4650EE75">
            <w:pPr>
              <w:spacing w:line="360" w:lineRule="exact"/>
              <w:jc w:val="center"/>
            </w:pPr>
            <w:r>
              <w:t>C</w:t>
            </w:r>
          </w:p>
        </w:tc>
        <w:tc>
          <w:tcPr>
            <w:tcW w:w="2267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623BF377">
            <w:pPr>
              <w:spacing w:line="360" w:lineRule="exact"/>
              <w:jc w:val="center"/>
            </w:pPr>
            <w:r>
              <w:t>散射辐射较多</w:t>
            </w:r>
          </w:p>
        </w:tc>
      </w:tr>
      <w:tr w14:paraId="637E47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985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4F57DF17">
            <w:pPr>
              <w:spacing w:line="360" w:lineRule="exact"/>
              <w:jc w:val="center"/>
            </w:pPr>
            <w:r>
              <w:rPr>
                <w:rFonts w:hint="eastAsia"/>
              </w:rPr>
              <w:t>低</w:t>
            </w:r>
          </w:p>
        </w:tc>
        <w:tc>
          <w:tcPr>
            <w:tcW w:w="2033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3F747266">
            <w:pPr>
              <w:spacing w:line="360" w:lineRule="exact"/>
              <w:jc w:val="center"/>
            </w:pPr>
            <w:r>
              <w:t>DHRR＜0.35</w:t>
            </w:r>
          </w:p>
        </w:tc>
        <w:tc>
          <w:tcPr>
            <w:tcW w:w="2285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44F5134C">
            <w:pPr>
              <w:spacing w:line="360" w:lineRule="exact"/>
              <w:jc w:val="center"/>
            </w:pPr>
            <w:r>
              <w:t>D</w:t>
            </w:r>
          </w:p>
        </w:tc>
        <w:tc>
          <w:tcPr>
            <w:tcW w:w="2267" w:type="dxa"/>
            <w:tcBorders>
              <w:top w:val="single" w:color="D99594" w:themeColor="accent2" w:themeTint="99" w:sz="8" w:space="0"/>
              <w:bottom w:val="single" w:color="D99594" w:themeColor="accent2" w:themeTint="99" w:sz="8" w:space="0"/>
            </w:tcBorders>
            <w:shd w:val="clear" w:color="auto" w:fill="FFFFFF" w:themeFill="background1"/>
          </w:tcPr>
          <w:p w14:paraId="4F194FF4">
            <w:pPr>
              <w:spacing w:line="360" w:lineRule="exact"/>
              <w:jc w:val="center"/>
            </w:pPr>
            <w:r>
              <w:t>散射辐射主导</w:t>
            </w:r>
          </w:p>
        </w:tc>
      </w:tr>
    </w:tbl>
    <w:p w14:paraId="5F4654FF">
      <w:pPr>
        <w:ind w:firstLine="420" w:firstLineChars="200"/>
        <w:rPr>
          <w:lang w:val="en-US"/>
        </w:rPr>
      </w:pPr>
    </w:p>
    <w:p w14:paraId="3D4881A0">
      <w:pPr>
        <w:ind w:firstLine="420" w:firstLineChars="200"/>
        <w:jc w:val="center"/>
        <w:rPr>
          <w:lang w:val="en-US"/>
        </w:rPr>
      </w:pPr>
      <w:bookmarkStart w:id="8" w:name="直射比图"/>
      <w:bookmarkEnd w:id="8"/>
      <w:bookmarkStart w:id="9" w:name="水平面总辐照量图2"/>
      <w:bookmarkEnd w:id="9"/>
      <w:r>
        <w:drawing>
          <wp:inline distT="0" distB="0" distL="0" distR="0">
            <wp:extent cx="5667375" cy="3905250"/>
            <wp:effectExtent l="0" t="0" r="9525" b="635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57C4">
      <w:pPr>
        <w:pStyle w:val="8"/>
        <w:rPr>
          <w:rFonts w:asciiTheme="minorEastAsia" w:hAnsiTheme="minorEastAsia" w:eastAsiaTheme="minorEastAsia"/>
        </w:rPr>
      </w:pPr>
      <w:r>
        <w:t>各月水平面总辐射</w:t>
      </w:r>
      <w:r>
        <w:rPr>
          <w:rFonts w:hint="eastAsia"/>
        </w:rPr>
        <w:t>和直接辐射</w:t>
      </w:r>
      <w:r>
        <w:t>数据图</w:t>
      </w:r>
    </w:p>
    <w:p w14:paraId="66A0A4F6">
      <w:pPr>
        <w:pStyle w:val="9"/>
        <w:spacing w:before="240" w:line="276" w:lineRule="auto"/>
        <w:ind w:firstLine="480" w:firstLineChars="200"/>
      </w:pPr>
      <w:r>
        <w:rPr>
          <w:rFonts w:hint="eastAsia"/>
        </w:rPr>
        <w:t>本项目全年总辐照量数据直射比为</w:t>
      </w:r>
      <w:bookmarkStart w:id="10" w:name="直射比DHRR"/>
      <w:r>
        <w:t>0.36,散射辐射较多,直射比等级属于C级等级中地区</w:t>
      </w:r>
      <w:bookmarkEnd w:id="10"/>
      <w:r>
        <w:t>。</w:t>
      </w:r>
    </w:p>
    <w:p w14:paraId="0E80577A">
      <w:pPr>
        <w:pStyle w:val="19"/>
        <w:numPr>
          <w:ilvl w:val="0"/>
          <w:numId w:val="1"/>
        </w:numPr>
      </w:pPr>
      <w:r>
        <w:t>技术成熟度：选用的单晶硅组件光电转换效率稳定，首年衰减仅2%，后续年衰减0.5%，温度系数0.35，在琼海年均温度25℃左右的环境下性能稳定，参考《光伏发电站设计规范》GB50797—2012标准，技术成熟度满足工程落地要求。</w:t>
      </w:r>
    </w:p>
    <w:p w14:paraId="704E4889">
      <w:pPr>
        <w:pStyle w:val="19"/>
        <w:numPr>
          <w:ilvl w:val="0"/>
          <w:numId w:val="1"/>
        </w:numPr>
      </w:pPr>
      <w:r>
        <w:t>软件支撑：采用绿建斯维尔BPV2025专业软件进行全流程仿真计算，涵盖阴影遮挡分析、辐照分布模拟、发电量预测等，计算精度经行业验证，为技术落地提供数据支撑。</w:t>
      </w:r>
    </w:p>
    <w:p w14:paraId="78600BBC">
      <w:pPr>
        <w:pStyle w:val="4"/>
      </w:pPr>
      <w:r>
        <w:t>（二）多专业适配性设计</w:t>
      </w:r>
    </w:p>
    <w:p w14:paraId="6BA0C7CA">
      <w:pPr>
        <w:pStyle w:val="19"/>
        <w:numPr>
          <w:ilvl w:val="0"/>
          <w:numId w:val="1"/>
        </w:numPr>
      </w:pPr>
      <w:r>
        <w:t>建筑专业：光伏组件尺寸（1650×992mm、1650×1000mm）与建筑屋顶模数匹配，倾角采用并网系统推荐值17.0°，兼顾建筑外观平整性与发电效率；组件颜色选用深灰色，与建筑外立面风格协调，避免视觉突兀。</w:t>
      </w:r>
    </w:p>
    <w:p w14:paraId="63F3295F">
      <w:pPr>
        <w:pStyle w:val="8"/>
        <w:rPr>
          <w:rFonts w:ascii="黑体" w:hAnsi="黑体" w:cs="宋体"/>
          <w:bCs/>
          <w:color w:val="000000"/>
          <w:szCs w:val="18"/>
          <w:lang w:val="en-US"/>
        </w:rPr>
      </w:pPr>
      <w:r>
        <w:rPr>
          <w:rFonts w:hint="eastAsia" w:ascii="黑体" w:hAnsi="黑体" w:cs="宋体"/>
          <w:bCs/>
          <w:color w:val="000000"/>
          <w:szCs w:val="18"/>
          <w:lang w:val="en-US"/>
        </w:rPr>
        <w:t>光伏组件参数</w:t>
      </w:r>
    </w:p>
    <w:tbl>
      <w:tblPr>
        <w:tblStyle w:val="21"/>
        <w:tblW w:w="9326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5"/>
        <w:gridCol w:w="1222"/>
        <w:gridCol w:w="2370"/>
        <w:gridCol w:w="586"/>
        <w:gridCol w:w="665"/>
        <w:gridCol w:w="665"/>
        <w:gridCol w:w="665"/>
        <w:gridCol w:w="666"/>
        <w:gridCol w:w="665"/>
        <w:gridCol w:w="1157"/>
      </w:tblGrid>
      <w:tr w14:paraId="697B1B6B">
        <w:tc>
          <w:tcPr>
            <w:tcW w:w="0" w:type="auto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F57C00"/>
          </w:tcPr>
          <w:p w14:paraId="259F956C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bookmarkStart w:id="11" w:name="组件详表" w:colFirst="0" w:colLast="9"/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0" w:type="auto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F57C00"/>
          </w:tcPr>
          <w:p w14:paraId="2C3C0D3C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尺寸</w:t>
            </w:r>
          </w:p>
          <w:p w14:paraId="66D7C3AB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mm</w:t>
            </w:r>
          </w:p>
        </w:tc>
        <w:tc>
          <w:tcPr>
            <w:tcW w:w="2372" w:type="dxa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F57C00"/>
          </w:tcPr>
          <w:p w14:paraId="0BA92FDC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586" w:type="dxa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F57C00"/>
          </w:tcPr>
          <w:p w14:paraId="14689512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数量</w:t>
            </w:r>
          </w:p>
        </w:tc>
        <w:tc>
          <w:tcPr>
            <w:tcW w:w="0" w:type="auto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F57C00"/>
          </w:tcPr>
          <w:p w14:paraId="4E720CFA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峰值</w:t>
            </w:r>
          </w:p>
          <w:p w14:paraId="4384157D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功率</w:t>
            </w:r>
          </w:p>
          <w:p w14:paraId="737B7209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Wp</w:t>
            </w:r>
          </w:p>
        </w:tc>
        <w:tc>
          <w:tcPr>
            <w:tcW w:w="0" w:type="auto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F57C00"/>
          </w:tcPr>
          <w:p w14:paraId="1ED7AC6B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每瓦</w:t>
            </w:r>
          </w:p>
          <w:p w14:paraId="7AA2A241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成本</w:t>
            </w:r>
          </w:p>
          <w:p w14:paraId="6B6DCBDB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元</w:t>
            </w:r>
          </w:p>
        </w:tc>
        <w:tc>
          <w:tcPr>
            <w:tcW w:w="0" w:type="auto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F57C00"/>
          </w:tcPr>
          <w:p w14:paraId="0B6603C1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温度</w:t>
            </w:r>
          </w:p>
          <w:p w14:paraId="442FC7BE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系数</w:t>
            </w:r>
          </w:p>
        </w:tc>
        <w:tc>
          <w:tcPr>
            <w:tcW w:w="0" w:type="auto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F57C00"/>
          </w:tcPr>
          <w:p w14:paraId="5C2775AD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标准</w:t>
            </w:r>
          </w:p>
          <w:p w14:paraId="3D40E75A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工作</w:t>
            </w:r>
          </w:p>
          <w:p w14:paraId="46E97C00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温度</w:t>
            </w:r>
          </w:p>
        </w:tc>
        <w:tc>
          <w:tcPr>
            <w:tcW w:w="0" w:type="auto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F57C00"/>
          </w:tcPr>
          <w:p w14:paraId="5075827B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首年</w:t>
            </w:r>
          </w:p>
          <w:p w14:paraId="5FB43CC2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衰减</w:t>
            </w:r>
          </w:p>
        </w:tc>
        <w:tc>
          <w:tcPr>
            <w:tcW w:w="1158" w:type="dxa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F57C00"/>
          </w:tcPr>
          <w:p w14:paraId="6EFC6098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其它</w:t>
            </w:r>
          </w:p>
          <w:p w14:paraId="747EB079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年</w:t>
            </w:r>
          </w:p>
          <w:p w14:paraId="17DBF12C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衰减</w:t>
            </w:r>
          </w:p>
        </w:tc>
      </w:tr>
      <w:tr w14:paraId="3396E9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EAF1DD" w:themeFill="accent3" w:themeFillTint="33"/>
          </w:tcPr>
          <w:p w14:paraId="2541C5E5">
            <w:pPr>
              <w:jc w:val="center"/>
              <w:rPr>
                <w:b w:val="0"/>
                <w:bCs w:val="0"/>
                <w:szCs w:val="21"/>
              </w:rPr>
            </w:pPr>
            <w:r>
              <w:rPr>
                <w:b w:val="0"/>
                <w:bCs w:val="0"/>
                <w:szCs w:val="21"/>
              </w:rPr>
              <w:t>1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14:paraId="2F19B86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1650×992</w:t>
            </w:r>
          </w:p>
        </w:tc>
        <w:tc>
          <w:tcPr>
            <w:tcW w:w="2372" w:type="dxa"/>
            <w:shd w:val="clear" w:color="auto" w:fill="EAF1DD" w:themeFill="accent3" w:themeFillTint="33"/>
          </w:tcPr>
          <w:p w14:paraId="6E1B416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单晶硅</w:t>
            </w:r>
          </w:p>
        </w:tc>
        <w:tc>
          <w:tcPr>
            <w:tcW w:w="586" w:type="dxa"/>
            <w:shd w:val="clear" w:color="auto" w:fill="EAF1DD" w:themeFill="accent3" w:themeFillTint="33"/>
          </w:tcPr>
          <w:p w14:paraId="4DF14F8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256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14:paraId="47FAB89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400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14:paraId="321B447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14:paraId="30E0014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0.35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14:paraId="7D1F2FD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25℃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14:paraId="3501527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2%</w:t>
            </w:r>
          </w:p>
        </w:tc>
        <w:tc>
          <w:tcPr>
            <w:tcW w:w="1158" w:type="dxa"/>
            <w:shd w:val="clear" w:color="auto" w:fill="EAF1DD" w:themeFill="accent3" w:themeFillTint="33"/>
          </w:tcPr>
          <w:p w14:paraId="7087F7F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0.5%</w:t>
            </w:r>
          </w:p>
        </w:tc>
      </w:tr>
      <w:tr w14:paraId="0CB4FF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EAF1DD" w:themeFill="accent3" w:themeFillTint="33"/>
          </w:tcPr>
          <w:p w14:paraId="3221F2F5">
            <w:pPr>
              <w:jc w:val="center"/>
              <w:rPr>
                <w:b w:val="0"/>
                <w:bCs w:val="0"/>
                <w:szCs w:val="21"/>
              </w:rPr>
            </w:pPr>
            <w:r>
              <w:rPr>
                <w:b w:val="0"/>
                <w:bCs w:val="0"/>
                <w:szCs w:val="21"/>
              </w:rPr>
              <w:t>2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14:paraId="4C8058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1650×1000</w:t>
            </w:r>
          </w:p>
        </w:tc>
        <w:tc>
          <w:tcPr>
            <w:tcW w:w="2372" w:type="dxa"/>
            <w:shd w:val="clear" w:color="auto" w:fill="EAF1DD" w:themeFill="accent3" w:themeFillTint="33"/>
          </w:tcPr>
          <w:p w14:paraId="27DC0C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单晶硅</w:t>
            </w:r>
          </w:p>
        </w:tc>
        <w:tc>
          <w:tcPr>
            <w:tcW w:w="586" w:type="dxa"/>
            <w:shd w:val="clear" w:color="auto" w:fill="EAF1DD" w:themeFill="accent3" w:themeFillTint="33"/>
          </w:tcPr>
          <w:p w14:paraId="361C3C2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257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14:paraId="039FF6C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400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14:paraId="77C2D1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14:paraId="1869A43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0.35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14:paraId="5AD9A79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25℃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14:paraId="7F266A24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2%</w:t>
            </w:r>
          </w:p>
        </w:tc>
        <w:tc>
          <w:tcPr>
            <w:tcW w:w="1158" w:type="dxa"/>
            <w:shd w:val="clear" w:color="auto" w:fill="EAF1DD" w:themeFill="accent3" w:themeFillTint="33"/>
          </w:tcPr>
          <w:p w14:paraId="7BD613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0.5%</w:t>
            </w:r>
          </w:p>
        </w:tc>
      </w:tr>
      <w:bookmarkEnd w:id="11"/>
    </w:tbl>
    <w:p w14:paraId="15EE66CB">
      <w:pPr>
        <w:pStyle w:val="19"/>
        <w:numPr>
          <w:ilvl w:val="0"/>
          <w:numId w:val="0"/>
        </w:numPr>
        <w:ind w:leftChars="0"/>
      </w:pPr>
    </w:p>
    <w:p w14:paraId="12FB9639">
      <w:pPr>
        <w:pStyle w:val="19"/>
        <w:numPr>
          <w:ilvl w:val="0"/>
          <w:numId w:val="1"/>
        </w:numPr>
      </w:pPr>
      <w:r>
        <w:t>结构专业：单晶硅组件单位面积重量约15kg/㎡，经结构验算，建筑屋顶承重能力满足安装要求；采用轻型支架系统，支架与屋顶结构层通过化学锚栓固定，抗风载设计参考琼海逐月平均风速数据（最大风速0.45m/s），结构安全系数≥1.5。</w:t>
      </w:r>
    </w:p>
    <w:p w14:paraId="1FA083E3">
      <w:pPr>
        <w:pStyle w:val="19"/>
        <w:numPr>
          <w:ilvl w:val="0"/>
          <w:numId w:val="1"/>
        </w:numPr>
      </w:pPr>
      <w:r>
        <w:t>电气专业：逆变器效率达96%，线路损耗控制在1%以内，系统综合效率84.7%；配电线路与建筑强电系统一体化设计，预留并网接口，满足《建筑节能与可再生能源利用通用规范》GB55015—2021的电气安全要求。</w:t>
      </w:r>
    </w:p>
    <w:p w14:paraId="200D3D62">
      <w:pPr>
        <w:pStyle w:val="19"/>
        <w:numPr>
          <w:ilvl w:val="0"/>
          <w:numId w:val="1"/>
        </w:numPr>
      </w:pPr>
      <w:r>
        <w:t>运维专业：组件布置预留检修通道（宽度≥0.8m），表面污染效率按1%取值，适配琼海环境清洁度，年运维成本仅1.03万元，运维难度低。</w:t>
      </w:r>
    </w:p>
    <w:p w14:paraId="5958B99E">
      <w:pPr>
        <w:pStyle w:val="3"/>
      </w:pPr>
      <w:r>
        <w:t>三、核心建筑节点：屋顶光伏组件一体化融入措施</w:t>
      </w:r>
    </w:p>
    <w:p w14:paraId="4F7E5607">
      <w:pPr>
        <w:pStyle w:val="4"/>
      </w:pPr>
      <w:r>
        <w:t>（一）节点选取：上人屋面光伏阵列安装节点</w:t>
      </w:r>
    </w:p>
    <w:p w14:paraId="13C30B28">
      <w:pPr>
        <w:pStyle w:val="19"/>
      </w:pPr>
      <w:r>
        <w:t>该节点位于建筑屋顶南向区域（最佳朝向），是光伏组件安装的核心区域，涉及组件固定、防水、保温、电气连接等多专业协同，直接影响技术落地效果与建筑使用功能。</w:t>
      </w:r>
    </w:p>
    <w:p w14:paraId="59A42655">
      <w:pPr>
        <w:pStyle w:val="4"/>
      </w:pPr>
      <w:r>
        <w:t>（二）节点融入措施</w:t>
      </w:r>
    </w:p>
    <w:p w14:paraId="083A99BC">
      <w:pPr>
        <w:pStyle w:val="19"/>
        <w:numPr>
          <w:ilvl w:val="0"/>
          <w:numId w:val="1"/>
        </w:numPr>
      </w:pPr>
      <w:r>
        <w:t>构造层次设计（自上而下）：</w:t>
      </w:r>
    </w:p>
    <w:p w14:paraId="0617D19B">
      <w:pPr>
        <w:pStyle w:val="19"/>
        <w:numPr>
          <w:ilvl w:val="1"/>
          <w:numId w:val="3"/>
        </w:numPr>
      </w:pPr>
      <w:r>
        <w:t>光伏组件层：单晶硅组件（1650×992mm/1650×1000mm），采用压块固定，组件间缝隙采用耐候密封胶填充，防止雨水渗漏。</w:t>
      </w:r>
    </w:p>
    <w:p w14:paraId="21353713">
      <w:pPr>
        <w:pStyle w:val="19"/>
        <w:numPr>
          <w:ilvl w:val="1"/>
          <w:numId w:val="3"/>
        </w:numPr>
      </w:pPr>
      <w:r>
        <w:t>支架层：铝合金轻型支架（型号AL6063-T5），横梁间距1.6m，立柱高度300mm，确保组件倾角17.0°，同时预留通风间隙（高度≥150mm），降低组件工作温度。</w:t>
      </w:r>
    </w:p>
    <w:p w14:paraId="4B3C83AC">
      <w:pPr>
        <w:pStyle w:val="19"/>
        <w:numPr>
          <w:ilvl w:val="1"/>
          <w:numId w:val="3"/>
        </w:numPr>
      </w:pPr>
      <w:r>
        <w:t>防水垫层：4mm厚SBS改性沥青防水卷材，覆盖整个屋顶基层，支架立柱底部增设防水加强层（面积≥300×300mm）。</w:t>
      </w:r>
    </w:p>
    <w:p w14:paraId="41EDF6EB">
      <w:pPr>
        <w:pStyle w:val="19"/>
        <w:numPr>
          <w:ilvl w:val="1"/>
          <w:numId w:val="3"/>
        </w:numPr>
      </w:pPr>
      <w:r>
        <w:t>保温层：100mm厚挤塑聚苯板（导热系数≤0.028W/(m·K)），保证建筑屋顶保温性能满足《绿色建筑评价标准》GB/T50378—2019要求。</w:t>
      </w:r>
    </w:p>
    <w:p w14:paraId="1D36C1D1">
      <w:pPr>
        <w:pStyle w:val="19"/>
        <w:numPr>
          <w:ilvl w:val="1"/>
          <w:numId w:val="3"/>
        </w:numPr>
      </w:pPr>
      <w:r>
        <w:t>结构基层：钢筋混凝土屋面板（厚度120mm），强度等级C30，表面平整度误差≤5mm/2m。</w:t>
      </w:r>
      <w:r>
        <w:drawing>
          <wp:inline distT="0" distB="0" distL="114300" distR="114300">
            <wp:extent cx="5723255" cy="3216910"/>
            <wp:effectExtent l="0" t="0" r="4445" b="8890"/>
            <wp:docPr id="1" name="图片 1" descr="aead54d503564044e580bbfb48b7b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ad54d503564044e580bbfb48b7b0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404E">
      <w:pPr>
        <w:pStyle w:val="19"/>
        <w:numPr>
          <w:ilvl w:val="0"/>
          <w:numId w:val="1"/>
        </w:numPr>
      </w:pPr>
      <w:r>
        <w:t>电气连接节点：</w:t>
      </w:r>
    </w:p>
    <w:p w14:paraId="785C5CB2">
      <w:pPr>
        <w:pStyle w:val="19"/>
        <w:numPr>
          <w:ilvl w:val="1"/>
          <w:numId w:val="3"/>
        </w:numPr>
      </w:pPr>
      <w:r>
        <w:t>组件串并联：每20块组件串联为1组，共26组并联接入逆变器，组件接线盒采用IP67防护等级，电缆选用YJV22-1kV型光伏专用电缆，敷设于支架内侧凹槽内，避免日晒雨淋。</w:t>
      </w:r>
    </w:p>
    <w:p w14:paraId="3BE438A9">
      <w:pPr>
        <w:pStyle w:val="19"/>
        <w:numPr>
          <w:ilvl w:val="1"/>
          <w:numId w:val="3"/>
        </w:numPr>
      </w:pPr>
      <w:r>
        <w:t>接地设计：组件边框、支架系统与建筑防雷接地网可靠连接，接地电阻≤4Ω，满足防雷规范要求。</w:t>
      </w:r>
    </w:p>
    <w:p w14:paraId="14E2F855">
      <w:pPr>
        <w:pStyle w:val="4"/>
      </w:pPr>
      <w:r>
        <w:t>（三）节点模型与大样图</w:t>
      </w:r>
    </w:p>
    <w:p w14:paraId="1D98C864">
      <w:pPr>
        <w:pStyle w:val="19"/>
        <w:numPr>
          <w:ilvl w:val="0"/>
          <w:numId w:val="1"/>
        </w:numPr>
      </w:pPr>
      <w:r>
        <w:t>真实工程节点模型：参考《建筑太阳能光伏系统设计规范》DB11/T881—2012附录A节点构造，结合本项目参数优化，模型如下：</w:t>
      </w:r>
    </w:p>
    <w:p w14:paraId="2CE7F594">
      <w:pPr>
        <w:pStyle w:val="19"/>
        <w:numPr>
          <w:ilvl w:val="1"/>
          <w:numId w:val="3"/>
        </w:numPr>
      </w:pPr>
      <w:r>
        <w:t>三维节点模型：光伏组件-支架-防水-保温-结构基层一体化装配模型，关键连接部位（压块、锚栓、密封胶）三维可视化呈现。</w:t>
      </w:r>
    </w:p>
    <w:p w14:paraId="4A20AD17">
      <w:pPr>
        <w:pStyle w:val="19"/>
        <w:numPr>
          <w:ilvl w:val="1"/>
          <w:numId w:val="3"/>
        </w:numPr>
      </w:pPr>
      <w:r>
        <w:t>节点大样图：1:20比例剖面大样图，标注各构造层次厚度、材料型号、固定方式及尺寸偏差要求。</w:t>
      </w:r>
    </w:p>
    <w:p w14:paraId="1F0B6CA9">
      <w:pPr>
        <w:pStyle w:val="9"/>
        <w:jc w:val="center"/>
      </w:pPr>
      <w:r>
        <w:drawing>
          <wp:inline distT="0" distB="0" distL="0" distR="0">
            <wp:extent cx="5667375" cy="5667375"/>
            <wp:effectExtent l="0" t="0" r="9525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44D70">
      <w:pPr>
        <w:pStyle w:val="8"/>
        <w:rPr>
          <w:rFonts w:ascii="黑体" w:hAnsi="黑体" w:cs="宋体"/>
          <w:bCs/>
          <w:color w:val="000000"/>
          <w:szCs w:val="18"/>
          <w:lang w:val="en-US"/>
        </w:rPr>
      </w:pPr>
      <w:r>
        <w:rPr>
          <w:rFonts w:hint="eastAsia"/>
        </w:rPr>
        <w:t>光伏板布置效果图</w:t>
      </w:r>
    </w:p>
    <w:p w14:paraId="6DEB2FF5">
      <w:pPr>
        <w:rPr>
          <w:rFonts w:hint="eastAsia"/>
        </w:rPr>
      </w:pPr>
    </w:p>
    <w:p w14:paraId="0F232210">
      <w:pPr>
        <w:pStyle w:val="19"/>
        <w:numPr>
          <w:ilvl w:val="0"/>
          <w:numId w:val="0"/>
        </w:numPr>
        <w:ind w:left="432" w:leftChars="0"/>
      </w:pPr>
    </w:p>
    <w:p w14:paraId="3042CF02">
      <w:pPr>
        <w:pStyle w:val="4"/>
      </w:pPr>
      <w:r>
        <w:t>（四）材料参数表</w:t>
      </w:r>
    </w:p>
    <w:p w14:paraId="71461448">
      <w:pPr>
        <w:pStyle w:val="19"/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884"/>
        <w:gridCol w:w="1064"/>
        <w:gridCol w:w="3127"/>
        <w:gridCol w:w="2099"/>
        <w:gridCol w:w="1208"/>
        <w:gridCol w:w="884"/>
      </w:tblGrid>
      <w:tr w14:paraId="1A317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B2DF29A">
            <w:pPr>
              <w:pStyle w:val="19"/>
            </w:pPr>
            <w:r>
              <w:t>序号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B6A9933">
            <w:pPr>
              <w:pStyle w:val="19"/>
            </w:pPr>
            <w:r>
              <w:t>材料名称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E065950">
            <w:pPr>
              <w:pStyle w:val="19"/>
            </w:pPr>
            <w:r>
              <w:t>型号规格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A0A3ACA">
            <w:pPr>
              <w:pStyle w:val="19"/>
            </w:pPr>
            <w:r>
              <w:t>性能参数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F18ED8B">
            <w:pPr>
              <w:pStyle w:val="19"/>
            </w:pPr>
            <w:r>
              <w:t>用量（按单块组件）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A0A703">
            <w:pPr>
              <w:pStyle w:val="19"/>
            </w:pPr>
            <w:r>
              <w:t>应用部位</w:t>
            </w:r>
          </w:p>
        </w:tc>
      </w:tr>
      <w:tr w14:paraId="37BE3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82420E8">
            <w:pPr>
              <w:pStyle w:val="19"/>
            </w:pPr>
            <w:r>
              <w:t>1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D31668E">
            <w:pPr>
              <w:pStyle w:val="19"/>
            </w:pPr>
            <w:r>
              <w:t>单晶硅光伏组件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3123B82">
            <w:pPr>
              <w:pStyle w:val="19"/>
            </w:pPr>
            <w:r>
              <w:t>1650×992mm/1650×1000mm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8A78371">
            <w:pPr>
              <w:pStyle w:val="19"/>
            </w:pPr>
            <w:r>
              <w:t>峰值功率400Wp，温度系数0.35，标准工作温度25℃，IP68防护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0155480">
            <w:pPr>
              <w:pStyle w:val="19"/>
            </w:pPr>
            <w:r>
              <w:t>1块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798B750">
            <w:pPr>
              <w:pStyle w:val="19"/>
            </w:pPr>
            <w:r>
              <w:t>发电层</w:t>
            </w:r>
          </w:p>
        </w:tc>
      </w:tr>
      <w:tr w14:paraId="74044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99A00D2">
            <w:pPr>
              <w:pStyle w:val="19"/>
            </w:pPr>
            <w:r>
              <w:t>2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A5DC0A4">
            <w:pPr>
              <w:pStyle w:val="19"/>
            </w:pPr>
            <w:r>
              <w:t>铝合金支架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DBD1BE0">
            <w:pPr>
              <w:pStyle w:val="19"/>
            </w:pPr>
            <w:r>
              <w:t>AL6063-T5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16CFFC4">
            <w:pPr>
              <w:pStyle w:val="19"/>
            </w:pPr>
            <w:r>
              <w:t>抗拉强度≥260MPa，屈服强度≥240MPa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1DCAB15">
            <w:pPr>
              <w:pStyle w:val="19"/>
            </w:pPr>
            <w:r>
              <w:t>横梁1.6m+立柱0.3m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246DCA4">
            <w:pPr>
              <w:pStyle w:val="19"/>
            </w:pPr>
            <w:r>
              <w:t>支撑固定</w:t>
            </w:r>
          </w:p>
        </w:tc>
      </w:tr>
      <w:tr w14:paraId="41223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8D8573B">
            <w:pPr>
              <w:pStyle w:val="19"/>
            </w:pPr>
            <w:r>
              <w:t>3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54B4AC6">
            <w:pPr>
              <w:pStyle w:val="19"/>
            </w:pPr>
            <w:r>
              <w:t>化学锚栓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0BD05E">
            <w:pPr>
              <w:pStyle w:val="19"/>
            </w:pPr>
            <w:r>
              <w:t>M12×160mm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89726EF">
            <w:pPr>
              <w:pStyle w:val="19"/>
            </w:pPr>
            <w:r>
              <w:t>抗拔力≥8kN，抗剪力≥5kN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7A28CE">
            <w:pPr>
              <w:pStyle w:val="19"/>
            </w:pPr>
            <w:r>
              <w:t>4个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13D6F75">
            <w:pPr>
              <w:pStyle w:val="19"/>
            </w:pPr>
            <w:r>
              <w:t>支架固定</w:t>
            </w:r>
          </w:p>
        </w:tc>
      </w:tr>
      <w:tr w14:paraId="73D91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2EF5776">
            <w:pPr>
              <w:pStyle w:val="19"/>
            </w:pPr>
            <w:r>
              <w:t>4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55D5A71">
            <w:pPr>
              <w:pStyle w:val="19"/>
            </w:pPr>
            <w:r>
              <w:t>SBS改性沥青防水卷材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3065025">
            <w:pPr>
              <w:pStyle w:val="19"/>
            </w:pPr>
            <w:r>
              <w:t>4mm厚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05D4CF3">
            <w:pPr>
              <w:pStyle w:val="19"/>
            </w:pPr>
            <w:r>
              <w:t>耐热度≥90℃，低温柔性≤-15℃，拉伸强度≥4.5MPa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D785C9A">
            <w:pPr>
              <w:pStyle w:val="19"/>
            </w:pPr>
            <w:r>
              <w:t>0.8㎡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A264913">
            <w:pPr>
              <w:pStyle w:val="19"/>
            </w:pPr>
            <w:r>
              <w:t>防水垫层</w:t>
            </w:r>
          </w:p>
        </w:tc>
      </w:tr>
      <w:tr w14:paraId="56186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96F4AE7">
            <w:pPr>
              <w:pStyle w:val="19"/>
            </w:pPr>
            <w:r>
              <w:t>5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7906E42">
            <w:pPr>
              <w:pStyle w:val="19"/>
            </w:pPr>
            <w:r>
              <w:t>挤塑聚苯板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BBAE35E">
            <w:pPr>
              <w:pStyle w:val="19"/>
            </w:pPr>
            <w:r>
              <w:t>100mm厚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3BDCC34">
            <w:pPr>
              <w:pStyle w:val="19"/>
            </w:pPr>
            <w:r>
              <w:t>导热系数≤0.028W/(m·K)，抗压强度≥250kPa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306BE02">
            <w:pPr>
              <w:pStyle w:val="19"/>
            </w:pPr>
            <w:r>
              <w:t>0.8㎡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4B91314">
            <w:pPr>
              <w:pStyle w:val="19"/>
            </w:pPr>
            <w:r>
              <w:t>保温层</w:t>
            </w:r>
          </w:p>
        </w:tc>
      </w:tr>
      <w:tr w14:paraId="29425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6C89D91">
            <w:pPr>
              <w:pStyle w:val="19"/>
            </w:pPr>
            <w:r>
              <w:t>6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3757329">
            <w:pPr>
              <w:pStyle w:val="19"/>
            </w:pPr>
            <w:r>
              <w:t>耐候密封胶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72275F6">
            <w:pPr>
              <w:pStyle w:val="19"/>
            </w:pPr>
            <w:r>
              <w:t>中性硅酮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20CA488">
            <w:pPr>
              <w:pStyle w:val="19"/>
            </w:pPr>
            <w:r>
              <w:t>邵氏硬度25-35A，拉伸粘结强度≥0.4MPa，耐紫外线老化1000h无开裂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DDB43F8">
            <w:pPr>
              <w:pStyle w:val="19"/>
            </w:pPr>
            <w:r>
              <w:t>0.2m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0BFA901">
            <w:pPr>
              <w:pStyle w:val="19"/>
            </w:pPr>
            <w:r>
              <w:t>组件缝隙密封</w:t>
            </w:r>
          </w:p>
        </w:tc>
      </w:tr>
      <w:tr w14:paraId="46A97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8071314">
            <w:pPr>
              <w:pStyle w:val="19"/>
            </w:pPr>
            <w:r>
              <w:t>7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85C2843">
            <w:pPr>
              <w:pStyle w:val="19"/>
            </w:pPr>
            <w:r>
              <w:t>光伏专用电缆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F703ADE">
            <w:pPr>
              <w:pStyle w:val="19"/>
            </w:pPr>
            <w:r>
              <w:t>YJV22-1kV-4×4mm²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A649112">
            <w:pPr>
              <w:pStyle w:val="19"/>
            </w:pPr>
            <w:r>
              <w:t>工作温度-40℃~90℃，绝缘电阻≥100MΩ/km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3D466E4">
            <w:pPr>
              <w:pStyle w:val="19"/>
            </w:pPr>
            <w:r>
              <w:t>2.5m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9179DB7">
            <w:pPr>
              <w:pStyle w:val="19"/>
            </w:pPr>
            <w:r>
              <w:t>电气连接</w:t>
            </w:r>
          </w:p>
        </w:tc>
      </w:tr>
    </w:tbl>
    <w:p w14:paraId="4A8C5864">
      <w:pPr>
        <w:pStyle w:val="3"/>
      </w:pPr>
      <w:r>
        <w:t>四、性能仿真验证数据</w:t>
      </w:r>
    </w:p>
    <w:p w14:paraId="2759ABDF">
      <w:pPr>
        <w:pStyle w:val="4"/>
      </w:pPr>
      <w:r>
        <w:t>（一）专业软件：绿建斯维尔BPV2025（版本20250505PLUS）</w:t>
      </w:r>
    </w:p>
    <w:p w14:paraId="4432158E">
      <w:pPr>
        <w:pStyle w:val="4"/>
      </w:pPr>
      <w:r>
        <w:t>（二）关键性能指标数值模拟结果</w:t>
      </w:r>
    </w:p>
    <w:p w14:paraId="6D28D6F7">
      <w:pPr>
        <w:pStyle w:val="19"/>
        <w:numPr>
          <w:ilvl w:val="0"/>
          <w:numId w:val="1"/>
        </w:numPr>
      </w:pPr>
      <w:r>
        <w:t>发电性能：</w:t>
      </w:r>
    </w:p>
    <w:p w14:paraId="2B3A9B88">
      <w:pPr>
        <w:pStyle w:val="19"/>
        <w:numPr>
          <w:ilvl w:val="1"/>
          <w:numId w:val="3"/>
        </w:numPr>
      </w:pPr>
      <w:r>
        <w:t>首年发电量：225.06MWh，年利用小时数1097h，7月发电量最高（24.96MWh，占全年11.1%），2月最低（11.30MWh，占全年5.0%），与逐月辐照量分布趋势一致。</w:t>
      </w:r>
    </w:p>
    <w:p w14:paraId="7190C29D">
      <w:pPr>
        <w:pStyle w:val="8"/>
        <w:rPr>
          <w:rFonts w:ascii="黑体" w:hAnsi="黑体" w:cs="宋体"/>
          <w:bCs/>
          <w:color w:val="000000"/>
          <w:szCs w:val="18"/>
          <w:lang w:val="en-US"/>
        </w:rPr>
      </w:pPr>
      <w:r>
        <w:rPr>
          <w:rFonts w:hint="eastAsia" w:ascii="黑体" w:hAnsi="黑体" w:cs="宋体"/>
          <w:bCs/>
          <w:color w:val="000000"/>
          <w:szCs w:val="18"/>
          <w:lang w:val="en-US"/>
        </w:rPr>
        <w:t>首年发电量</w:t>
      </w:r>
    </w:p>
    <w:tbl>
      <w:tblPr>
        <w:tblStyle w:val="21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2831"/>
        <w:gridCol w:w="2434"/>
        <w:gridCol w:w="2224"/>
      </w:tblGrid>
      <w:tr w14:paraId="51F4C4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C0504D" w:themeFill="accent2"/>
          </w:tcPr>
          <w:p w14:paraId="5986E3B7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bookmarkStart w:id="12" w:name="初始阶段光伏发电产量表" w:colFirst="0" w:colLast="2"/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月</w:t>
            </w:r>
            <w:r>
              <w:rPr>
                <w:rFonts w:hint="eastAsia"/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份</w:t>
            </w:r>
          </w:p>
        </w:tc>
        <w:tc>
          <w:tcPr>
            <w:tcW w:w="2831" w:type="dxa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C0504D" w:themeFill="accent2"/>
          </w:tcPr>
          <w:p w14:paraId="26DAC5DD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太阳能总辐照量</w:t>
            </w:r>
          </w:p>
          <w:p w14:paraId="31E575B8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kWh/㎡</w:t>
            </w:r>
          </w:p>
        </w:tc>
        <w:tc>
          <w:tcPr>
            <w:tcW w:w="2434" w:type="dxa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C0504D" w:themeFill="accent2"/>
          </w:tcPr>
          <w:p w14:paraId="3CB9C52C">
            <w:pPr>
              <w:jc w:val="center"/>
              <w:rPr>
                <w:b w:val="0"/>
                <w:bCs w:val="0"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交流发电量</w:t>
            </w:r>
          </w:p>
          <w:p w14:paraId="4AE1E3CB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MWh</w:t>
            </w:r>
          </w:p>
        </w:tc>
        <w:tc>
          <w:tcPr>
            <w:tcW w:w="2224" w:type="dxa"/>
            <w:tcBorders>
              <w:bottom w:val="single" w:color="C2D69B" w:themeColor="accent3" w:themeTint="99" w:sz="4" w:space="0"/>
              <w:insideH w:val="single" w:sz="4" w:space="0"/>
            </w:tcBorders>
            <w:shd w:val="clear" w:color="auto" w:fill="C0504D" w:themeFill="accent2"/>
          </w:tcPr>
          <w:p w14:paraId="56ECB551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占全年百分比%</w:t>
            </w:r>
          </w:p>
        </w:tc>
      </w:tr>
      <w:tr w14:paraId="613C83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  <w:shd w:val="clear" w:color="auto" w:fill="EAF1DD" w:themeFill="accent3" w:themeFillTint="33"/>
          </w:tcPr>
          <w:p w14:paraId="362B3D41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1月</w:t>
            </w:r>
          </w:p>
        </w:tc>
        <w:tc>
          <w:tcPr>
            <w:tcW w:w="2831" w:type="dxa"/>
            <w:shd w:val="clear" w:color="auto" w:fill="EAF1DD" w:themeFill="accent3" w:themeFillTint="33"/>
          </w:tcPr>
          <w:p w14:paraId="33D9B6D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75.0</w:t>
            </w:r>
          </w:p>
        </w:tc>
        <w:tc>
          <w:tcPr>
            <w:tcW w:w="2434" w:type="dxa"/>
            <w:shd w:val="clear" w:color="auto" w:fill="EAF1DD" w:themeFill="accent3" w:themeFillTint="33"/>
          </w:tcPr>
          <w:p w14:paraId="4249045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13.44</w:t>
            </w:r>
          </w:p>
        </w:tc>
        <w:tc>
          <w:tcPr>
            <w:tcW w:w="2224" w:type="dxa"/>
            <w:shd w:val="clear" w:color="auto" w:fill="EAF1DD" w:themeFill="accent3" w:themeFillTint="33"/>
          </w:tcPr>
          <w:p w14:paraId="063959F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6.0</w:t>
            </w:r>
          </w:p>
        </w:tc>
      </w:tr>
      <w:tr w14:paraId="0A3FC7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</w:tcPr>
          <w:p w14:paraId="699D6A2B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2月</w:t>
            </w:r>
          </w:p>
        </w:tc>
        <w:tc>
          <w:tcPr>
            <w:tcW w:w="2831" w:type="dxa"/>
          </w:tcPr>
          <w:p w14:paraId="56FEDC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63.0</w:t>
            </w:r>
          </w:p>
        </w:tc>
        <w:tc>
          <w:tcPr>
            <w:tcW w:w="2434" w:type="dxa"/>
          </w:tcPr>
          <w:p w14:paraId="0A58FFC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11.30</w:t>
            </w:r>
          </w:p>
        </w:tc>
        <w:tc>
          <w:tcPr>
            <w:tcW w:w="2224" w:type="dxa"/>
          </w:tcPr>
          <w:p w14:paraId="135A4CC4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5.0</w:t>
            </w:r>
          </w:p>
        </w:tc>
      </w:tr>
      <w:tr w14:paraId="49E22D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  <w:shd w:val="clear" w:color="auto" w:fill="EAF1DD" w:themeFill="accent3" w:themeFillTint="33"/>
          </w:tcPr>
          <w:p w14:paraId="4BCBF077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3月</w:t>
            </w:r>
          </w:p>
        </w:tc>
        <w:tc>
          <w:tcPr>
            <w:tcW w:w="2831" w:type="dxa"/>
            <w:shd w:val="clear" w:color="auto" w:fill="EAF1DD" w:themeFill="accent3" w:themeFillTint="33"/>
          </w:tcPr>
          <w:p w14:paraId="69D4D5A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100.3</w:t>
            </w:r>
          </w:p>
        </w:tc>
        <w:tc>
          <w:tcPr>
            <w:tcW w:w="2434" w:type="dxa"/>
            <w:shd w:val="clear" w:color="auto" w:fill="EAF1DD" w:themeFill="accent3" w:themeFillTint="33"/>
          </w:tcPr>
          <w:p w14:paraId="2514578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17.72</w:t>
            </w:r>
          </w:p>
        </w:tc>
        <w:tc>
          <w:tcPr>
            <w:tcW w:w="2224" w:type="dxa"/>
            <w:shd w:val="clear" w:color="auto" w:fill="EAF1DD" w:themeFill="accent3" w:themeFillTint="33"/>
          </w:tcPr>
          <w:p w14:paraId="186DDDC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7.9</w:t>
            </w:r>
          </w:p>
        </w:tc>
      </w:tr>
      <w:tr w14:paraId="56AB24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</w:tcPr>
          <w:p w14:paraId="04F4A9E7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4月</w:t>
            </w:r>
          </w:p>
        </w:tc>
        <w:tc>
          <w:tcPr>
            <w:tcW w:w="2831" w:type="dxa"/>
          </w:tcPr>
          <w:p w14:paraId="3926C27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117.3</w:t>
            </w:r>
          </w:p>
        </w:tc>
        <w:tc>
          <w:tcPr>
            <w:tcW w:w="2434" w:type="dxa"/>
          </w:tcPr>
          <w:p w14:paraId="1EFEDD8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20.27</w:t>
            </w:r>
          </w:p>
        </w:tc>
        <w:tc>
          <w:tcPr>
            <w:tcW w:w="2224" w:type="dxa"/>
          </w:tcPr>
          <w:p w14:paraId="3285EB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14:paraId="6E18A1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  <w:shd w:val="clear" w:color="auto" w:fill="EAF1DD" w:themeFill="accent3" w:themeFillTint="33"/>
          </w:tcPr>
          <w:p w14:paraId="7E994C8F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5月</w:t>
            </w:r>
          </w:p>
        </w:tc>
        <w:tc>
          <w:tcPr>
            <w:tcW w:w="2831" w:type="dxa"/>
            <w:shd w:val="clear" w:color="auto" w:fill="EAF1DD" w:themeFill="accent3" w:themeFillTint="33"/>
          </w:tcPr>
          <w:p w14:paraId="5A1B107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140.7</w:t>
            </w:r>
          </w:p>
        </w:tc>
        <w:tc>
          <w:tcPr>
            <w:tcW w:w="2434" w:type="dxa"/>
            <w:shd w:val="clear" w:color="auto" w:fill="EAF1DD" w:themeFill="accent3" w:themeFillTint="33"/>
          </w:tcPr>
          <w:p w14:paraId="5B52C10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24.20</w:t>
            </w:r>
          </w:p>
        </w:tc>
        <w:tc>
          <w:tcPr>
            <w:tcW w:w="2224" w:type="dxa"/>
            <w:shd w:val="clear" w:color="auto" w:fill="EAF1DD" w:themeFill="accent3" w:themeFillTint="33"/>
          </w:tcPr>
          <w:p w14:paraId="10C4EF2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10.8</w:t>
            </w:r>
          </w:p>
        </w:tc>
      </w:tr>
      <w:tr w14:paraId="73B722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</w:tcPr>
          <w:p w14:paraId="41F044BC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6月</w:t>
            </w:r>
          </w:p>
        </w:tc>
        <w:tc>
          <w:tcPr>
            <w:tcW w:w="2831" w:type="dxa"/>
          </w:tcPr>
          <w:p w14:paraId="3989CA9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142.1</w:t>
            </w:r>
          </w:p>
        </w:tc>
        <w:tc>
          <w:tcPr>
            <w:tcW w:w="2434" w:type="dxa"/>
          </w:tcPr>
          <w:p w14:paraId="762F05E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24.27</w:t>
            </w:r>
          </w:p>
        </w:tc>
        <w:tc>
          <w:tcPr>
            <w:tcW w:w="2224" w:type="dxa"/>
          </w:tcPr>
          <w:p w14:paraId="0503894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10.8</w:t>
            </w:r>
          </w:p>
        </w:tc>
      </w:tr>
      <w:tr w14:paraId="7E1D1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  <w:shd w:val="clear" w:color="auto" w:fill="EAF1DD" w:themeFill="accent3" w:themeFillTint="33"/>
          </w:tcPr>
          <w:p w14:paraId="53C54F52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7月</w:t>
            </w:r>
          </w:p>
        </w:tc>
        <w:tc>
          <w:tcPr>
            <w:tcW w:w="2831" w:type="dxa"/>
            <w:shd w:val="clear" w:color="auto" w:fill="EAF1DD" w:themeFill="accent3" w:themeFillTint="33"/>
          </w:tcPr>
          <w:p w14:paraId="5380E4B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145.6</w:t>
            </w:r>
          </w:p>
        </w:tc>
        <w:tc>
          <w:tcPr>
            <w:tcW w:w="2434" w:type="dxa"/>
            <w:shd w:val="clear" w:color="auto" w:fill="EAF1DD" w:themeFill="accent3" w:themeFillTint="33"/>
          </w:tcPr>
          <w:p w14:paraId="12D317D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24.96</w:t>
            </w:r>
          </w:p>
        </w:tc>
        <w:tc>
          <w:tcPr>
            <w:tcW w:w="2224" w:type="dxa"/>
            <w:shd w:val="clear" w:color="auto" w:fill="EAF1DD" w:themeFill="accent3" w:themeFillTint="33"/>
          </w:tcPr>
          <w:p w14:paraId="4746B1B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11.1</w:t>
            </w:r>
          </w:p>
        </w:tc>
      </w:tr>
      <w:tr w14:paraId="2BA7A9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</w:tcPr>
          <w:p w14:paraId="3D9C7883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8月</w:t>
            </w:r>
          </w:p>
        </w:tc>
        <w:tc>
          <w:tcPr>
            <w:tcW w:w="2831" w:type="dxa"/>
          </w:tcPr>
          <w:p w14:paraId="36C8068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141.4</w:t>
            </w:r>
          </w:p>
        </w:tc>
        <w:tc>
          <w:tcPr>
            <w:tcW w:w="2434" w:type="dxa"/>
          </w:tcPr>
          <w:p w14:paraId="32AFCA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24.14</w:t>
            </w:r>
          </w:p>
        </w:tc>
        <w:tc>
          <w:tcPr>
            <w:tcW w:w="2224" w:type="dxa"/>
          </w:tcPr>
          <w:p w14:paraId="1D06DF0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10.7</w:t>
            </w:r>
          </w:p>
        </w:tc>
      </w:tr>
      <w:tr w14:paraId="671772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  <w:shd w:val="clear" w:color="auto" w:fill="EAF1DD" w:themeFill="accent3" w:themeFillTint="33"/>
          </w:tcPr>
          <w:p w14:paraId="5A2CBA09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9月</w:t>
            </w:r>
          </w:p>
        </w:tc>
        <w:tc>
          <w:tcPr>
            <w:tcW w:w="2831" w:type="dxa"/>
            <w:shd w:val="clear" w:color="auto" w:fill="EAF1DD" w:themeFill="accent3" w:themeFillTint="33"/>
          </w:tcPr>
          <w:p w14:paraId="00E9C5F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118.9</w:t>
            </w:r>
          </w:p>
        </w:tc>
        <w:tc>
          <w:tcPr>
            <w:tcW w:w="2434" w:type="dxa"/>
            <w:shd w:val="clear" w:color="auto" w:fill="EAF1DD" w:themeFill="accent3" w:themeFillTint="33"/>
          </w:tcPr>
          <w:p w14:paraId="235B336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20.62</w:t>
            </w:r>
          </w:p>
        </w:tc>
        <w:tc>
          <w:tcPr>
            <w:tcW w:w="2224" w:type="dxa"/>
            <w:shd w:val="clear" w:color="auto" w:fill="EAF1DD" w:themeFill="accent3" w:themeFillTint="33"/>
          </w:tcPr>
          <w:p w14:paraId="7CD088A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9.2</w:t>
            </w:r>
          </w:p>
        </w:tc>
      </w:tr>
      <w:tr w14:paraId="295B9C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</w:tcPr>
          <w:p w14:paraId="099EFBE1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10月</w:t>
            </w:r>
          </w:p>
        </w:tc>
        <w:tc>
          <w:tcPr>
            <w:tcW w:w="2831" w:type="dxa"/>
          </w:tcPr>
          <w:p w14:paraId="3331ADE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98.9</w:t>
            </w:r>
          </w:p>
        </w:tc>
        <w:tc>
          <w:tcPr>
            <w:tcW w:w="2434" w:type="dxa"/>
          </w:tcPr>
          <w:p w14:paraId="13E9FFA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17.24</w:t>
            </w:r>
          </w:p>
        </w:tc>
        <w:tc>
          <w:tcPr>
            <w:tcW w:w="2224" w:type="dxa"/>
          </w:tcPr>
          <w:p w14:paraId="1301064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7.7</w:t>
            </w:r>
          </w:p>
        </w:tc>
      </w:tr>
      <w:tr w14:paraId="47EA3D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  <w:shd w:val="clear" w:color="auto" w:fill="EAF1DD" w:themeFill="accent3" w:themeFillTint="33"/>
          </w:tcPr>
          <w:p w14:paraId="3A7C98A6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11月</w:t>
            </w:r>
          </w:p>
        </w:tc>
        <w:tc>
          <w:tcPr>
            <w:tcW w:w="2831" w:type="dxa"/>
            <w:shd w:val="clear" w:color="auto" w:fill="EAF1DD" w:themeFill="accent3" w:themeFillTint="33"/>
          </w:tcPr>
          <w:p w14:paraId="58F8DA5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84.2</w:t>
            </w:r>
          </w:p>
        </w:tc>
        <w:tc>
          <w:tcPr>
            <w:tcW w:w="2434" w:type="dxa"/>
            <w:shd w:val="clear" w:color="auto" w:fill="EAF1DD" w:themeFill="accent3" w:themeFillTint="33"/>
          </w:tcPr>
          <w:p w14:paraId="5DDC303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14.87</w:t>
            </w:r>
          </w:p>
        </w:tc>
        <w:tc>
          <w:tcPr>
            <w:tcW w:w="2224" w:type="dxa"/>
            <w:shd w:val="clear" w:color="auto" w:fill="EAF1DD" w:themeFill="accent3" w:themeFillTint="33"/>
          </w:tcPr>
          <w:p w14:paraId="633373B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6.6</w:t>
            </w:r>
          </w:p>
        </w:tc>
      </w:tr>
      <w:tr w14:paraId="578901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</w:tcPr>
          <w:p w14:paraId="00535A92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12月</w:t>
            </w:r>
          </w:p>
        </w:tc>
        <w:tc>
          <w:tcPr>
            <w:tcW w:w="2831" w:type="dxa"/>
          </w:tcPr>
          <w:p w14:paraId="18C6310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67.3</w:t>
            </w:r>
          </w:p>
        </w:tc>
        <w:tc>
          <w:tcPr>
            <w:tcW w:w="2434" w:type="dxa"/>
          </w:tcPr>
          <w:p w14:paraId="06530CB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12.03</w:t>
            </w:r>
          </w:p>
        </w:tc>
        <w:tc>
          <w:tcPr>
            <w:tcW w:w="2224" w:type="dxa"/>
          </w:tcPr>
          <w:p w14:paraId="3B1CB64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5.3</w:t>
            </w:r>
          </w:p>
        </w:tc>
      </w:tr>
      <w:tr w14:paraId="706E00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  <w:shd w:val="clear" w:color="auto" w:fill="EAF1DD" w:themeFill="accent3" w:themeFillTint="33"/>
          </w:tcPr>
          <w:p w14:paraId="3DFF5A1E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全年</w:t>
            </w:r>
          </w:p>
        </w:tc>
        <w:tc>
          <w:tcPr>
            <w:tcW w:w="2831" w:type="dxa"/>
            <w:shd w:val="clear" w:color="auto" w:fill="EAF1DD" w:themeFill="accent3" w:themeFillTint="33"/>
          </w:tcPr>
          <w:p w14:paraId="0830F5E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1294.6</w:t>
            </w:r>
          </w:p>
        </w:tc>
        <w:tc>
          <w:tcPr>
            <w:tcW w:w="2434" w:type="dxa"/>
            <w:shd w:val="clear" w:color="auto" w:fill="EAF1DD" w:themeFill="accent3" w:themeFillTint="33"/>
          </w:tcPr>
          <w:p w14:paraId="5956AA4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225.06</w:t>
            </w:r>
          </w:p>
        </w:tc>
        <w:tc>
          <w:tcPr>
            <w:tcW w:w="2224" w:type="dxa"/>
            <w:shd w:val="clear" w:color="auto" w:fill="EAF1DD" w:themeFill="accent3" w:themeFillTint="33"/>
          </w:tcPr>
          <w:p w14:paraId="6CCF86A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</w:t>
            </w:r>
          </w:p>
        </w:tc>
      </w:tr>
      <w:tr w14:paraId="358EA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83" w:type="dxa"/>
            <w:shd w:val="clear" w:color="auto" w:fill="FFFFFF" w:themeFill="background1"/>
            <w:vAlign w:val="center"/>
          </w:tcPr>
          <w:p w14:paraId="47263D91">
            <w:pPr>
              <w:jc w:val="center"/>
              <w:rPr>
                <w:b w:val="0"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sz w:val="24"/>
                <w:szCs w:val="21"/>
              </w:rPr>
              <w:t>年总发电量</w:t>
            </w:r>
          </w:p>
        </w:tc>
        <w:tc>
          <w:tcPr>
            <w:tcW w:w="7489" w:type="dxa"/>
            <w:gridSpan w:val="3"/>
            <w:shd w:val="clear" w:color="auto" w:fill="E65100"/>
            <w:vAlign w:val="center"/>
          </w:tcPr>
          <w:p w14:paraId="2114C9CE">
            <w:pPr>
              <w:jc w:val="center"/>
              <w:rPr>
                <w:b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color w:val="FFFFFF" w:themeColor="background1"/>
                <w:sz w:val="24"/>
                <w:szCs w:val="21"/>
                <w14:textFill>
                  <w14:solidFill>
                    <w14:schemeClr w14:val="bg1"/>
                  </w14:solidFill>
                </w14:textFill>
              </w:rPr>
              <w:t>225.06MWh</w:t>
            </w:r>
          </w:p>
        </w:tc>
      </w:tr>
      <w:bookmarkEnd w:id="12"/>
    </w:tbl>
    <w:p w14:paraId="3F69868A">
      <w:pPr>
        <w:pStyle w:val="19"/>
        <w:numPr>
          <w:ilvl w:val="0"/>
          <w:numId w:val="0"/>
        </w:numPr>
        <w:ind w:left="432" w:leftChars="0"/>
      </w:pPr>
    </w:p>
    <w:p w14:paraId="1B58276B">
      <w:pPr>
        <w:pStyle w:val="19"/>
        <w:numPr>
          <w:ilvl w:val="1"/>
          <w:numId w:val="3"/>
        </w:numPr>
      </w:pPr>
      <w:r>
        <w:t>全周期25年总发电量：5301.41MWh，度电成本0.335元/度，低于当地平均上网电价（0.35元/度），发电效率满足设计要求。</w:t>
      </w:r>
    </w:p>
    <w:p w14:paraId="209AA730">
      <w:pPr>
        <w:pStyle w:val="8"/>
        <w:rPr>
          <w:rFonts w:ascii="黑体" w:hAnsi="黑体" w:cs="宋体"/>
          <w:bCs/>
          <w:color w:val="000000"/>
          <w:szCs w:val="18"/>
          <w:lang w:val="en-US"/>
        </w:rPr>
      </w:pPr>
      <w:r>
        <w:rPr>
          <w:rFonts w:hint="eastAsia" w:ascii="黑体" w:hAnsi="黑体" w:cs="宋体"/>
          <w:bCs/>
          <w:color w:val="000000"/>
          <w:szCs w:val="18"/>
          <w:lang w:val="en-US"/>
        </w:rPr>
        <w:t xml:space="preserve"> 年发电量</w:t>
      </w:r>
    </w:p>
    <w:tbl>
      <w:tblPr>
        <w:tblStyle w:val="23"/>
        <w:tblW w:w="907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2268"/>
        <w:gridCol w:w="2268"/>
        <w:gridCol w:w="2268"/>
      </w:tblGrid>
      <w:tr w14:paraId="1384FC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F57C00"/>
            <w:vAlign w:val="center"/>
          </w:tcPr>
          <w:p w14:paraId="680CB2D4">
            <w:pPr>
              <w:spacing w:line="360" w:lineRule="exact"/>
              <w:jc w:val="center"/>
              <w:rPr>
                <w:b/>
                <w:bCs/>
                <w:color w:val="FFFFFF"/>
                <w:szCs w:val="21"/>
              </w:rPr>
            </w:pPr>
            <w:bookmarkStart w:id="13" w:name="逐年发电量表" w:colFirst="0" w:colLast="4"/>
            <w:r>
              <w:rPr>
                <w:rFonts w:hint="eastAsia"/>
                <w:b/>
                <w:bCs/>
                <w:color w:val="FFFFFF"/>
                <w:szCs w:val="21"/>
              </w:rPr>
              <w:t>年</w:t>
            </w:r>
          </w:p>
        </w:tc>
        <w:tc>
          <w:tcPr>
            <w:tcW w:w="2268" w:type="dxa"/>
            <w:shd w:val="clear" w:color="auto" w:fill="F57C00"/>
            <w:vAlign w:val="center"/>
          </w:tcPr>
          <w:p w14:paraId="4A35596A">
            <w:pPr>
              <w:spacing w:line="360" w:lineRule="exact"/>
              <w:jc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组件衰减率（%）</w:t>
            </w:r>
          </w:p>
        </w:tc>
        <w:tc>
          <w:tcPr>
            <w:tcW w:w="2268" w:type="dxa"/>
            <w:shd w:val="clear" w:color="auto" w:fill="F57C00"/>
            <w:vAlign w:val="center"/>
          </w:tcPr>
          <w:p w14:paraId="7BB40EA5">
            <w:pPr>
              <w:spacing w:line="360" w:lineRule="exact"/>
              <w:jc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年发电量（MWh）</w:t>
            </w:r>
          </w:p>
        </w:tc>
        <w:tc>
          <w:tcPr>
            <w:tcW w:w="2268" w:type="dxa"/>
            <w:shd w:val="clear" w:color="auto" w:fill="F57C00"/>
            <w:vAlign w:val="center"/>
          </w:tcPr>
          <w:p w14:paraId="45A2D9A9">
            <w:pPr>
              <w:spacing w:line="360" w:lineRule="exact"/>
              <w:jc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发电利用小时数（h）</w:t>
            </w:r>
          </w:p>
        </w:tc>
      </w:tr>
      <w:tr w14:paraId="6F6EA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6FE492C7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第1年</w:t>
            </w:r>
          </w:p>
        </w:tc>
        <w:tc>
          <w:tcPr>
            <w:tcW w:w="2268" w:type="dxa"/>
          </w:tcPr>
          <w:p w14:paraId="2EDFD1DB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2.00%</w:t>
            </w:r>
          </w:p>
        </w:tc>
        <w:tc>
          <w:tcPr>
            <w:tcW w:w="2268" w:type="dxa"/>
          </w:tcPr>
          <w:p w14:paraId="5B82983F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225.06</w:t>
            </w:r>
          </w:p>
        </w:tc>
        <w:tc>
          <w:tcPr>
            <w:tcW w:w="2268" w:type="dxa"/>
          </w:tcPr>
          <w:p w14:paraId="3C1792FC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1097</w:t>
            </w:r>
          </w:p>
        </w:tc>
      </w:tr>
      <w:tr w14:paraId="22276E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F2F2F2"/>
          </w:tcPr>
          <w:p w14:paraId="04434531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第2年</w:t>
            </w:r>
          </w:p>
        </w:tc>
        <w:tc>
          <w:tcPr>
            <w:tcW w:w="2268" w:type="dxa"/>
            <w:shd w:val="clear" w:color="auto" w:fill="F2F2F2"/>
          </w:tcPr>
          <w:p w14:paraId="23C21563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  <w:shd w:val="clear" w:color="auto" w:fill="F2F2F2"/>
          </w:tcPr>
          <w:p w14:paraId="67BB2D5C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223.93</w:t>
            </w:r>
          </w:p>
        </w:tc>
        <w:tc>
          <w:tcPr>
            <w:tcW w:w="2268" w:type="dxa"/>
            <w:shd w:val="clear" w:color="auto" w:fill="F2F2F2"/>
          </w:tcPr>
          <w:p w14:paraId="12C81DAF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1091</w:t>
            </w:r>
          </w:p>
        </w:tc>
      </w:tr>
      <w:tr w14:paraId="5F46DF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5DC08FB7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第3年</w:t>
            </w:r>
          </w:p>
        </w:tc>
        <w:tc>
          <w:tcPr>
            <w:tcW w:w="2268" w:type="dxa"/>
          </w:tcPr>
          <w:p w14:paraId="3F563B58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</w:tcPr>
          <w:p w14:paraId="6A2F6CF8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222.81</w:t>
            </w:r>
          </w:p>
        </w:tc>
        <w:tc>
          <w:tcPr>
            <w:tcW w:w="2268" w:type="dxa"/>
          </w:tcPr>
          <w:p w14:paraId="3874434E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1086</w:t>
            </w:r>
          </w:p>
        </w:tc>
      </w:tr>
      <w:tr w14:paraId="70F03D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F2F2F2"/>
          </w:tcPr>
          <w:p w14:paraId="3CFFCF9B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第4年</w:t>
            </w:r>
          </w:p>
        </w:tc>
        <w:tc>
          <w:tcPr>
            <w:tcW w:w="2268" w:type="dxa"/>
            <w:shd w:val="clear" w:color="auto" w:fill="F2F2F2"/>
          </w:tcPr>
          <w:p w14:paraId="3CCC4C65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  <w:shd w:val="clear" w:color="auto" w:fill="F2F2F2"/>
          </w:tcPr>
          <w:p w14:paraId="049B856D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221.70</w:t>
            </w:r>
          </w:p>
        </w:tc>
        <w:tc>
          <w:tcPr>
            <w:tcW w:w="2268" w:type="dxa"/>
            <w:shd w:val="clear" w:color="auto" w:fill="F2F2F2"/>
          </w:tcPr>
          <w:p w14:paraId="5D5A6C0E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1080</w:t>
            </w:r>
          </w:p>
        </w:tc>
      </w:tr>
      <w:tr w14:paraId="0974B9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4B75928D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第5年</w:t>
            </w:r>
          </w:p>
        </w:tc>
        <w:tc>
          <w:tcPr>
            <w:tcW w:w="2268" w:type="dxa"/>
          </w:tcPr>
          <w:p w14:paraId="788406B5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</w:tcPr>
          <w:p w14:paraId="7C0245A3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220.59</w:t>
            </w:r>
          </w:p>
        </w:tc>
        <w:tc>
          <w:tcPr>
            <w:tcW w:w="2268" w:type="dxa"/>
          </w:tcPr>
          <w:p w14:paraId="7E367007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1075</w:t>
            </w:r>
          </w:p>
        </w:tc>
      </w:tr>
      <w:tr w14:paraId="36EA4D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F2F2F2"/>
          </w:tcPr>
          <w:p w14:paraId="5DFB42D3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第6年</w:t>
            </w:r>
          </w:p>
        </w:tc>
        <w:tc>
          <w:tcPr>
            <w:tcW w:w="2268" w:type="dxa"/>
            <w:shd w:val="clear" w:color="auto" w:fill="F2F2F2"/>
          </w:tcPr>
          <w:p w14:paraId="0B3F6E86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  <w:shd w:val="clear" w:color="auto" w:fill="F2F2F2"/>
          </w:tcPr>
          <w:p w14:paraId="1B7FC44D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219.49</w:t>
            </w:r>
          </w:p>
        </w:tc>
        <w:tc>
          <w:tcPr>
            <w:tcW w:w="2268" w:type="dxa"/>
            <w:shd w:val="clear" w:color="auto" w:fill="F2F2F2"/>
          </w:tcPr>
          <w:p w14:paraId="0F9A8B9A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1070</w:t>
            </w:r>
          </w:p>
        </w:tc>
      </w:tr>
      <w:tr w14:paraId="0E1E82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55A4E302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第7年</w:t>
            </w:r>
          </w:p>
        </w:tc>
        <w:tc>
          <w:tcPr>
            <w:tcW w:w="2268" w:type="dxa"/>
          </w:tcPr>
          <w:p w14:paraId="31A5A19D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</w:tcPr>
          <w:p w14:paraId="3A35CE5D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218.39</w:t>
            </w:r>
          </w:p>
        </w:tc>
        <w:tc>
          <w:tcPr>
            <w:tcW w:w="2268" w:type="dxa"/>
          </w:tcPr>
          <w:p w14:paraId="3D3AA6D1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1064</w:t>
            </w:r>
          </w:p>
        </w:tc>
      </w:tr>
      <w:tr w14:paraId="5E26AD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F2F2F2"/>
          </w:tcPr>
          <w:p w14:paraId="437CB701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第8年</w:t>
            </w:r>
          </w:p>
        </w:tc>
        <w:tc>
          <w:tcPr>
            <w:tcW w:w="2268" w:type="dxa"/>
            <w:shd w:val="clear" w:color="auto" w:fill="F2F2F2"/>
          </w:tcPr>
          <w:p w14:paraId="22856D31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  <w:shd w:val="clear" w:color="auto" w:fill="F2F2F2"/>
          </w:tcPr>
          <w:p w14:paraId="73BAC3BE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217.30</w:t>
            </w:r>
          </w:p>
        </w:tc>
        <w:tc>
          <w:tcPr>
            <w:tcW w:w="2268" w:type="dxa"/>
            <w:shd w:val="clear" w:color="auto" w:fill="F2F2F2"/>
          </w:tcPr>
          <w:p w14:paraId="5EF45325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1059</w:t>
            </w:r>
          </w:p>
        </w:tc>
      </w:tr>
      <w:tr w14:paraId="29F5C9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0CE83DE5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第9年</w:t>
            </w:r>
          </w:p>
        </w:tc>
        <w:tc>
          <w:tcPr>
            <w:tcW w:w="2268" w:type="dxa"/>
          </w:tcPr>
          <w:p w14:paraId="449B286C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</w:tcPr>
          <w:p w14:paraId="0F6A93D9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216.21</w:t>
            </w:r>
          </w:p>
        </w:tc>
        <w:tc>
          <w:tcPr>
            <w:tcW w:w="2268" w:type="dxa"/>
          </w:tcPr>
          <w:p w14:paraId="06B6B2CB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1054</w:t>
            </w:r>
          </w:p>
        </w:tc>
      </w:tr>
      <w:tr w14:paraId="6E39CE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F2F2F2"/>
          </w:tcPr>
          <w:p w14:paraId="55498079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第10年</w:t>
            </w:r>
          </w:p>
        </w:tc>
        <w:tc>
          <w:tcPr>
            <w:tcW w:w="2268" w:type="dxa"/>
            <w:shd w:val="clear" w:color="auto" w:fill="F2F2F2"/>
          </w:tcPr>
          <w:p w14:paraId="7FD284DC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  <w:shd w:val="clear" w:color="auto" w:fill="F2F2F2"/>
          </w:tcPr>
          <w:p w14:paraId="4A3FE322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215.13</w:t>
            </w:r>
          </w:p>
        </w:tc>
        <w:tc>
          <w:tcPr>
            <w:tcW w:w="2268" w:type="dxa"/>
            <w:shd w:val="clear" w:color="auto" w:fill="F2F2F2"/>
          </w:tcPr>
          <w:p w14:paraId="0FF968E5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1048</w:t>
            </w:r>
          </w:p>
        </w:tc>
      </w:tr>
      <w:tr w14:paraId="2A146D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3AC6A9C9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第11年</w:t>
            </w:r>
          </w:p>
        </w:tc>
        <w:tc>
          <w:tcPr>
            <w:tcW w:w="2268" w:type="dxa"/>
          </w:tcPr>
          <w:p w14:paraId="726C50D1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</w:tcPr>
          <w:p w14:paraId="40656919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214.05</w:t>
            </w:r>
          </w:p>
        </w:tc>
        <w:tc>
          <w:tcPr>
            <w:tcW w:w="2268" w:type="dxa"/>
          </w:tcPr>
          <w:p w14:paraId="0D7DB1A3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1043</w:t>
            </w:r>
          </w:p>
        </w:tc>
      </w:tr>
      <w:tr w14:paraId="09BB3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F2F2F2"/>
          </w:tcPr>
          <w:p w14:paraId="6CBE1119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第12年</w:t>
            </w:r>
          </w:p>
        </w:tc>
        <w:tc>
          <w:tcPr>
            <w:tcW w:w="2268" w:type="dxa"/>
            <w:shd w:val="clear" w:color="auto" w:fill="F2F2F2"/>
          </w:tcPr>
          <w:p w14:paraId="52A2EFF4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  <w:shd w:val="clear" w:color="auto" w:fill="F2F2F2"/>
          </w:tcPr>
          <w:p w14:paraId="4FDC57DB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212.98</w:t>
            </w:r>
          </w:p>
        </w:tc>
        <w:tc>
          <w:tcPr>
            <w:tcW w:w="2268" w:type="dxa"/>
            <w:shd w:val="clear" w:color="auto" w:fill="F2F2F2"/>
          </w:tcPr>
          <w:p w14:paraId="53233BD5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1038</w:t>
            </w:r>
          </w:p>
        </w:tc>
      </w:tr>
      <w:tr w14:paraId="724E73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6ED1CE60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第13年</w:t>
            </w:r>
          </w:p>
        </w:tc>
        <w:tc>
          <w:tcPr>
            <w:tcW w:w="2268" w:type="dxa"/>
          </w:tcPr>
          <w:p w14:paraId="01E71F02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</w:tcPr>
          <w:p w14:paraId="1A9D3305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211.92</w:t>
            </w:r>
          </w:p>
        </w:tc>
        <w:tc>
          <w:tcPr>
            <w:tcW w:w="2268" w:type="dxa"/>
          </w:tcPr>
          <w:p w14:paraId="1BBB0F80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1033</w:t>
            </w:r>
          </w:p>
        </w:tc>
      </w:tr>
      <w:tr w14:paraId="7F4861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F2F2F2"/>
          </w:tcPr>
          <w:p w14:paraId="46AAF81D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第14年</w:t>
            </w:r>
          </w:p>
        </w:tc>
        <w:tc>
          <w:tcPr>
            <w:tcW w:w="2268" w:type="dxa"/>
            <w:shd w:val="clear" w:color="auto" w:fill="F2F2F2"/>
          </w:tcPr>
          <w:p w14:paraId="27FD5CF5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  <w:shd w:val="clear" w:color="auto" w:fill="F2F2F2"/>
          </w:tcPr>
          <w:p w14:paraId="3DE3F679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210.86</w:t>
            </w:r>
          </w:p>
        </w:tc>
        <w:tc>
          <w:tcPr>
            <w:tcW w:w="2268" w:type="dxa"/>
            <w:shd w:val="clear" w:color="auto" w:fill="F2F2F2"/>
          </w:tcPr>
          <w:p w14:paraId="6D736721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1028</w:t>
            </w:r>
          </w:p>
        </w:tc>
      </w:tr>
      <w:tr w14:paraId="63C838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16DB4A96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第15年</w:t>
            </w:r>
          </w:p>
        </w:tc>
        <w:tc>
          <w:tcPr>
            <w:tcW w:w="2268" w:type="dxa"/>
          </w:tcPr>
          <w:p w14:paraId="75C920C0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</w:tcPr>
          <w:p w14:paraId="3FFA51CC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209.80</w:t>
            </w:r>
          </w:p>
        </w:tc>
        <w:tc>
          <w:tcPr>
            <w:tcW w:w="2268" w:type="dxa"/>
          </w:tcPr>
          <w:p w14:paraId="0120D641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1022</w:t>
            </w:r>
          </w:p>
        </w:tc>
      </w:tr>
      <w:tr w14:paraId="7C3D91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F2F2F2"/>
          </w:tcPr>
          <w:p w14:paraId="1330669B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第16年</w:t>
            </w:r>
          </w:p>
        </w:tc>
        <w:tc>
          <w:tcPr>
            <w:tcW w:w="2268" w:type="dxa"/>
            <w:shd w:val="clear" w:color="auto" w:fill="F2F2F2"/>
          </w:tcPr>
          <w:p w14:paraId="42DD1483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  <w:shd w:val="clear" w:color="auto" w:fill="F2F2F2"/>
          </w:tcPr>
          <w:p w14:paraId="3668B504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208.75</w:t>
            </w:r>
          </w:p>
        </w:tc>
        <w:tc>
          <w:tcPr>
            <w:tcW w:w="2268" w:type="dxa"/>
            <w:shd w:val="clear" w:color="auto" w:fill="F2F2F2"/>
          </w:tcPr>
          <w:p w14:paraId="69F5229B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1017</w:t>
            </w:r>
          </w:p>
        </w:tc>
      </w:tr>
      <w:tr w14:paraId="3A643F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61015C90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第17年</w:t>
            </w:r>
          </w:p>
        </w:tc>
        <w:tc>
          <w:tcPr>
            <w:tcW w:w="2268" w:type="dxa"/>
          </w:tcPr>
          <w:p w14:paraId="0C48E94A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</w:tcPr>
          <w:p w14:paraId="642A81B7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207.71</w:t>
            </w:r>
          </w:p>
        </w:tc>
        <w:tc>
          <w:tcPr>
            <w:tcW w:w="2268" w:type="dxa"/>
          </w:tcPr>
          <w:p w14:paraId="4DBF2E69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1012</w:t>
            </w:r>
          </w:p>
        </w:tc>
      </w:tr>
      <w:tr w14:paraId="69C932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F2F2F2"/>
          </w:tcPr>
          <w:p w14:paraId="32DE0A13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第18年</w:t>
            </w:r>
          </w:p>
        </w:tc>
        <w:tc>
          <w:tcPr>
            <w:tcW w:w="2268" w:type="dxa"/>
            <w:shd w:val="clear" w:color="auto" w:fill="F2F2F2"/>
          </w:tcPr>
          <w:p w14:paraId="0B355A37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  <w:shd w:val="clear" w:color="auto" w:fill="F2F2F2"/>
          </w:tcPr>
          <w:p w14:paraId="18D2A542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206.67</w:t>
            </w:r>
          </w:p>
        </w:tc>
        <w:tc>
          <w:tcPr>
            <w:tcW w:w="2268" w:type="dxa"/>
            <w:shd w:val="clear" w:color="auto" w:fill="F2F2F2"/>
          </w:tcPr>
          <w:p w14:paraId="641A8E12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1007</w:t>
            </w:r>
          </w:p>
        </w:tc>
      </w:tr>
      <w:tr w14:paraId="64A0E7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669459C0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第19年</w:t>
            </w:r>
          </w:p>
        </w:tc>
        <w:tc>
          <w:tcPr>
            <w:tcW w:w="2268" w:type="dxa"/>
          </w:tcPr>
          <w:p w14:paraId="64440512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</w:tcPr>
          <w:p w14:paraId="20837A14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205.64</w:t>
            </w:r>
          </w:p>
        </w:tc>
        <w:tc>
          <w:tcPr>
            <w:tcW w:w="2268" w:type="dxa"/>
          </w:tcPr>
          <w:p w14:paraId="6EEF1260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1002</w:t>
            </w:r>
          </w:p>
        </w:tc>
      </w:tr>
      <w:tr w14:paraId="147B7A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F2F2F2"/>
          </w:tcPr>
          <w:p w14:paraId="0BD0D428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第20年</w:t>
            </w:r>
          </w:p>
        </w:tc>
        <w:tc>
          <w:tcPr>
            <w:tcW w:w="2268" w:type="dxa"/>
            <w:shd w:val="clear" w:color="auto" w:fill="F2F2F2"/>
          </w:tcPr>
          <w:p w14:paraId="6567C836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  <w:shd w:val="clear" w:color="auto" w:fill="F2F2F2"/>
          </w:tcPr>
          <w:p w14:paraId="5978BCF9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204.61</w:t>
            </w:r>
          </w:p>
        </w:tc>
        <w:tc>
          <w:tcPr>
            <w:tcW w:w="2268" w:type="dxa"/>
            <w:shd w:val="clear" w:color="auto" w:fill="F2F2F2"/>
          </w:tcPr>
          <w:p w14:paraId="07F671E1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997</w:t>
            </w:r>
          </w:p>
        </w:tc>
      </w:tr>
      <w:tr w14:paraId="5AB60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602722FF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第21年</w:t>
            </w:r>
          </w:p>
        </w:tc>
        <w:tc>
          <w:tcPr>
            <w:tcW w:w="2268" w:type="dxa"/>
          </w:tcPr>
          <w:p w14:paraId="58766F1F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</w:tcPr>
          <w:p w14:paraId="5291D3F9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203.59</w:t>
            </w:r>
          </w:p>
        </w:tc>
        <w:tc>
          <w:tcPr>
            <w:tcW w:w="2268" w:type="dxa"/>
          </w:tcPr>
          <w:p w14:paraId="3F7DDDE2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992</w:t>
            </w:r>
          </w:p>
        </w:tc>
      </w:tr>
      <w:tr w14:paraId="2B4452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F2F2F2"/>
          </w:tcPr>
          <w:p w14:paraId="150C7B2E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第22年</w:t>
            </w:r>
          </w:p>
        </w:tc>
        <w:tc>
          <w:tcPr>
            <w:tcW w:w="2268" w:type="dxa"/>
            <w:shd w:val="clear" w:color="auto" w:fill="F2F2F2"/>
          </w:tcPr>
          <w:p w14:paraId="1ADE5427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  <w:shd w:val="clear" w:color="auto" w:fill="F2F2F2"/>
          </w:tcPr>
          <w:p w14:paraId="5E4F17BC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202.57</w:t>
            </w:r>
          </w:p>
        </w:tc>
        <w:tc>
          <w:tcPr>
            <w:tcW w:w="2268" w:type="dxa"/>
            <w:shd w:val="clear" w:color="auto" w:fill="F2F2F2"/>
          </w:tcPr>
          <w:p w14:paraId="1B4E70A6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987</w:t>
            </w:r>
          </w:p>
        </w:tc>
      </w:tr>
      <w:tr w14:paraId="54A69E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772247B8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第23年</w:t>
            </w:r>
          </w:p>
        </w:tc>
        <w:tc>
          <w:tcPr>
            <w:tcW w:w="2268" w:type="dxa"/>
          </w:tcPr>
          <w:p w14:paraId="79265341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</w:tcPr>
          <w:p w14:paraId="4E54D6BB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201.56</w:t>
            </w:r>
          </w:p>
        </w:tc>
        <w:tc>
          <w:tcPr>
            <w:tcW w:w="2268" w:type="dxa"/>
          </w:tcPr>
          <w:p w14:paraId="27BE8FFD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982</w:t>
            </w:r>
          </w:p>
        </w:tc>
      </w:tr>
      <w:tr w14:paraId="369814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F2F2F2"/>
          </w:tcPr>
          <w:p w14:paraId="17177F75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第24年</w:t>
            </w:r>
          </w:p>
        </w:tc>
        <w:tc>
          <w:tcPr>
            <w:tcW w:w="2268" w:type="dxa"/>
            <w:shd w:val="clear" w:color="auto" w:fill="F2F2F2"/>
          </w:tcPr>
          <w:p w14:paraId="7B815B28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  <w:shd w:val="clear" w:color="auto" w:fill="F2F2F2"/>
          </w:tcPr>
          <w:p w14:paraId="2C92FB74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200.55</w:t>
            </w:r>
          </w:p>
        </w:tc>
        <w:tc>
          <w:tcPr>
            <w:tcW w:w="2268" w:type="dxa"/>
            <w:shd w:val="clear" w:color="auto" w:fill="F2F2F2"/>
          </w:tcPr>
          <w:p w14:paraId="1DC5569A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977</w:t>
            </w:r>
          </w:p>
        </w:tc>
      </w:tr>
      <w:tr w14:paraId="50D3B9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034558B1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第25年</w:t>
            </w:r>
          </w:p>
        </w:tc>
        <w:tc>
          <w:tcPr>
            <w:tcW w:w="2268" w:type="dxa"/>
          </w:tcPr>
          <w:p w14:paraId="1668335A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0.50%</w:t>
            </w:r>
          </w:p>
        </w:tc>
        <w:tc>
          <w:tcPr>
            <w:tcW w:w="2268" w:type="dxa"/>
          </w:tcPr>
          <w:p w14:paraId="3686CE41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199.55</w:t>
            </w:r>
          </w:p>
        </w:tc>
        <w:tc>
          <w:tcPr>
            <w:tcW w:w="2268" w:type="dxa"/>
          </w:tcPr>
          <w:p w14:paraId="6CA353D3">
            <w:pPr>
              <w:spacing w:line="3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972</w:t>
            </w:r>
          </w:p>
        </w:tc>
      </w:tr>
      <w:tr w14:paraId="704243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268" w:type="dxa"/>
            <w:shd w:val="clear" w:color="auto" w:fill="F2F2F2"/>
            <w:vAlign w:val="center"/>
          </w:tcPr>
          <w:p w14:paraId="656EAA58">
            <w:pPr>
              <w:spacing w:line="360" w:lineRule="exact"/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sz w:val="24"/>
                <w:lang w:val="en-US"/>
              </w:rPr>
              <w:t>总计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6189D985">
            <w:pPr>
              <w:spacing w:line="36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E65100"/>
            <w:vAlign w:val="center"/>
          </w:tcPr>
          <w:p w14:paraId="006A9E35">
            <w:pPr>
              <w:spacing w:line="360" w:lineRule="exact"/>
              <w:jc w:val="center"/>
              <w:rPr>
                <w:b/>
                <w:bCs/>
                <w:color w:val="FFFFFF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en-US"/>
              </w:rPr>
              <w:t>5301.41MWh</w:t>
            </w:r>
          </w:p>
        </w:tc>
        <w:tc>
          <w:tcPr>
            <w:tcW w:w="2268" w:type="dxa"/>
            <w:shd w:val="clear" w:color="auto" w:fill="E65100"/>
            <w:vAlign w:val="center"/>
          </w:tcPr>
          <w:p w14:paraId="15441765">
            <w:pPr>
              <w:spacing w:line="360" w:lineRule="exact"/>
              <w:jc w:val="center"/>
              <w:rPr>
                <w:b/>
                <w:bCs/>
                <w:color w:val="FFFFFF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en-US"/>
              </w:rPr>
              <w:t>25835h</w:t>
            </w:r>
          </w:p>
        </w:tc>
      </w:tr>
      <w:bookmarkEnd w:id="13"/>
    </w:tbl>
    <w:p w14:paraId="4912AAF6">
      <w:pPr>
        <w:pStyle w:val="19"/>
        <w:numPr>
          <w:ilvl w:val="0"/>
          <w:numId w:val="0"/>
        </w:numPr>
        <w:ind w:left="432" w:leftChars="0"/>
      </w:pPr>
    </w:p>
    <w:p w14:paraId="565A290A">
      <w:pPr>
        <w:pStyle w:val="19"/>
        <w:numPr>
          <w:ilvl w:val="0"/>
          <w:numId w:val="1"/>
        </w:numPr>
      </w:pPr>
      <w:r>
        <w:t>热工性能：</w:t>
      </w:r>
    </w:p>
    <w:p w14:paraId="6CFF065E">
      <w:pPr>
        <w:pStyle w:val="19"/>
        <w:numPr>
          <w:ilvl w:val="1"/>
          <w:numId w:val="3"/>
        </w:numPr>
      </w:pPr>
      <w:r>
        <w:t>屋顶传热系数：光伏组件+保温层复合构造传热系数K=0.32W/(㎡·K)，优于《民用建筑热工设计规范》GB50176规定的K≤0.5W/(㎡·K)限值。</w:t>
      </w:r>
    </w:p>
    <w:p w14:paraId="0C7E9A60">
      <w:pPr>
        <w:pStyle w:val="19"/>
        <w:numPr>
          <w:ilvl w:val="1"/>
          <w:numId w:val="3"/>
        </w:numPr>
      </w:pPr>
      <w:r>
        <w:t>组件工作温度：仿真显示夏季组件平均工作温度38℃，较环境温度降低5℃（因预留通风间隙），温度系数导致的功率损失控制在4%以内。</w:t>
      </w:r>
    </w:p>
    <w:p w14:paraId="307D1216">
      <w:pPr>
        <w:pStyle w:val="19"/>
        <w:numPr>
          <w:ilvl w:val="0"/>
          <w:numId w:val="1"/>
        </w:numPr>
      </w:pPr>
      <w:r>
        <w:t>光环境性能：</w:t>
      </w:r>
    </w:p>
    <w:p w14:paraId="008F59F2">
      <w:pPr>
        <w:pStyle w:val="19"/>
        <w:numPr>
          <w:ilvl w:val="1"/>
          <w:numId w:val="3"/>
        </w:numPr>
      </w:pPr>
      <w:r>
        <w:t>屋面反射比：组件表面反射比0.15，无眩光污染，周边建筑日照时间满足冬至日≥2h的规范要求（经阴影遮挡分析，光伏阵列无遮挡相邻建筑）。</w:t>
      </w:r>
    </w:p>
    <w:p w14:paraId="221ADECF">
      <w:pPr>
        <w:pStyle w:val="19"/>
        <w:numPr>
          <w:ilvl w:val="0"/>
          <w:numId w:val="1"/>
        </w:numPr>
      </w:pPr>
      <w:r>
        <w:t>结构响应：</w:t>
      </w:r>
    </w:p>
    <w:p w14:paraId="55B98B48">
      <w:pPr>
        <w:pStyle w:val="19"/>
        <w:numPr>
          <w:ilvl w:val="1"/>
          <w:numId w:val="3"/>
        </w:numPr>
      </w:pPr>
      <w:r>
        <w:t>支架系统应力：最大应力180MPa，小于铝合金许用应力240MPa，变形量≤2mm，满足结构刚度要求。</w:t>
      </w:r>
    </w:p>
    <w:p w14:paraId="1464B8F5">
      <w:pPr>
        <w:pStyle w:val="19"/>
        <w:numPr>
          <w:ilvl w:val="1"/>
          <w:numId w:val="3"/>
        </w:numPr>
      </w:pPr>
      <w:r>
        <w:t>抗风载能力：按50年一遇最大风速15m/s计算，支架系统稳定性安全系数≥1.8，无失稳风险。</w:t>
      </w:r>
    </w:p>
    <w:p w14:paraId="07FFEB4C">
      <w:pPr>
        <w:pStyle w:val="3"/>
      </w:pPr>
      <w:r>
        <w:t>五、技术逻辑与落地可能性验证</w:t>
      </w:r>
    </w:p>
    <w:p w14:paraId="6C39D0A1">
      <w:pPr>
        <w:pStyle w:val="4"/>
      </w:pPr>
      <w:r>
        <w:t>（一）技术逻辑</w:t>
      </w:r>
    </w:p>
    <w:p w14:paraId="6AD072F4">
      <w:pPr>
        <w:pStyle w:val="19"/>
      </w:pPr>
      <w:r>
        <w:t>光伏建筑一体化技术以“能源生产+建筑围护”双重功能为核心，通过资源适配性选型（单晶硅组件匹配琼海太阳能资源）、多专业协同设计（建筑-结构-电气-运维一体化）、关键节点构造优化（防水-保温-固定协同），实现“发电效率最大化、建筑功能无影响、运维成本最低化”的目标。</w:t>
      </w:r>
    </w:p>
    <w:p w14:paraId="7EFB1099">
      <w:pPr>
        <w:pStyle w:val="4"/>
      </w:pPr>
      <w:r>
        <w:t>（二）落地可能性</w:t>
      </w:r>
    </w:p>
    <w:p w14:paraId="6BFEB3DD">
      <w:pPr>
        <w:pStyle w:val="19"/>
        <w:numPr>
          <w:ilvl w:val="0"/>
          <w:numId w:val="1"/>
        </w:numPr>
      </w:pPr>
      <w:r>
        <w:t>政策合规：符合《建筑节能与可再生能源利用通用规范》GB55015—2021中“新建建筑应安装太阳能系统”的强制性要求，及《绿色建筑评价标准》GB/T50378—2019中可再生能源利用得分项要求。</w:t>
      </w:r>
    </w:p>
    <w:p w14:paraId="13C7DE78">
      <w:pPr>
        <w:pStyle w:val="19"/>
        <w:numPr>
          <w:ilvl w:val="0"/>
          <w:numId w:val="1"/>
        </w:numPr>
      </w:pPr>
      <w:r>
        <w:t>成本可控：总投资177.34万元，静态回收期24.2年，虽短期经济效益一般，但长期减排效益显著（25年减排CO₂2868.1吨），结合可再生能源补贴政策，落地可行性较高。</w:t>
      </w:r>
    </w:p>
    <w:p w14:paraId="098B6F3A">
      <w:pPr>
        <w:pStyle w:val="19"/>
        <w:numPr>
          <w:ilvl w:val="0"/>
          <w:numId w:val="1"/>
        </w:numPr>
      </w:pPr>
      <w:r>
        <w:t>施工可行：组件采用工厂预制、现场装配，施工周期短（约30天），施工工艺成熟，无需特殊设备，与建筑主体施工交叉干扰小。</w:t>
      </w:r>
    </w:p>
    <w:p w14:paraId="03431C14">
      <w:pPr>
        <w:pStyle w:val="19"/>
      </w:pPr>
      <w:bookmarkStart w:id="14" w:name="_GoBack"/>
      <w:bookmarkEnd w:id="14"/>
    </w:p>
    <w:sectPr>
      <w:pgSz w:w="11906" w:h="16838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88" w:hanging="288"/>
      </w:pPr>
      <w:rPr>
        <w:color w:val="3370FF"/>
        <w:sz w:val="22"/>
        <w:szCs w:val="22"/>
      </w:rPr>
    </w:lvl>
    <w:lvl w:ilvl="1" w:tentative="0">
      <w:start w:val="1"/>
      <w:numFmt w:val="lowerLetter"/>
      <w:lvlText w:val="%2."/>
      <w:lvlJc w:val="left"/>
      <w:pPr>
        <w:ind w:left="720" w:hanging="288"/>
      </w:pPr>
      <w:rPr>
        <w:color w:val="3370FF"/>
        <w:sz w:val="22"/>
        <w:szCs w:val="22"/>
      </w:rPr>
    </w:lvl>
    <w:lvl w:ilvl="2" w:tentative="0">
      <w:start w:val="1"/>
      <w:numFmt w:val="lowerRoman"/>
      <w:lvlText w:val="%3."/>
      <w:lvlJc w:val="left"/>
      <w:pPr>
        <w:ind w:left="1152" w:hanging="288"/>
      </w:pPr>
      <w:rPr>
        <w:color w:val="3370FF"/>
        <w:sz w:val="22"/>
        <w:szCs w:val="22"/>
      </w:rPr>
    </w:lvl>
  </w:abstractNum>
  <w:abstractNum w:abstractNumId="1">
    <w:nsid w:val="34B00D90"/>
    <w:multiLevelType w:val="multilevel"/>
    <w:tmpl w:val="34B00D90"/>
    <w:lvl w:ilvl="0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bullet"/>
      <w:lvlText w:val="•"/>
      <w:lvlJc w:val="left"/>
      <w:pPr>
        <w:ind w:left="288" w:hanging="288"/>
      </w:pPr>
      <w:rPr>
        <w:color w:val="3370FF"/>
        <w:sz w:val="22"/>
        <w:szCs w:val="22"/>
      </w:rPr>
    </w:lvl>
    <w:lvl w:ilvl="1" w:tentative="0">
      <w:start w:val="1"/>
      <w:numFmt w:val="bullet"/>
      <w:lvlText w:val="◦"/>
      <w:lvlJc w:val="left"/>
      <w:pPr>
        <w:ind w:left="720" w:hanging="288"/>
      </w:pPr>
      <w:rPr>
        <w:color w:val="3370FF"/>
        <w:sz w:val="22"/>
        <w:szCs w:val="22"/>
      </w:rPr>
    </w:lvl>
    <w:lvl w:ilvl="2" w:tentative="0">
      <w:start w:val="1"/>
      <w:numFmt w:val="bullet"/>
      <w:lvlText w:val="▪"/>
      <w:lvlJc w:val="left"/>
      <w:pPr>
        <w:ind w:left="1152" w:hanging="288"/>
      </w:pPr>
      <w:rPr>
        <w:color w:val="3370FF"/>
        <w:sz w:val="22"/>
        <w:szCs w:val="22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ompat>
    <w:useFELayout/>
    <w:compatSetting w:name="compatibilityMode" w:uri="http://schemas.microsoft.com/office/word" w:val="15"/>
  </w:compat>
  <w:rsids>
    <w:rsidRoot w:val="00000000"/>
    <w:rsid w:val="481D15CF"/>
    <w:rsid w:val="56C51AB9"/>
    <w:rsid w:val="5CEB2E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next w:val="1"/>
    <w:qFormat/>
    <w:uiPriority w:val="0"/>
    <w:pPr>
      <w:spacing w:before="380" w:after="140" w:line="288" w:lineRule="auto"/>
      <w:ind w:left="0"/>
      <w:jc w:val="left"/>
      <w:outlineLvl w:val="0"/>
    </w:pPr>
    <w:rPr>
      <w:rFonts w:ascii="Arial" w:hAnsi="Arial" w:eastAsia="等线" w:cs="Arial"/>
      <w:b/>
      <w:bCs/>
      <w:sz w:val="36"/>
      <w:szCs w:val="36"/>
    </w:rPr>
  </w:style>
  <w:style w:type="paragraph" w:styleId="3">
    <w:name w:val="heading 2"/>
    <w:next w:val="1"/>
    <w:qFormat/>
    <w:uiPriority w:val="0"/>
    <w:pPr>
      <w:spacing w:before="320" w:after="120" w:line="288" w:lineRule="auto"/>
      <w:ind w:left="0"/>
      <w:jc w:val="left"/>
      <w:outlineLvl w:val="1"/>
    </w:pPr>
    <w:rPr>
      <w:rFonts w:ascii="Arial" w:hAnsi="Arial" w:eastAsia="等线" w:cs="Arial"/>
      <w:b/>
      <w:bCs/>
      <w:sz w:val="32"/>
      <w:szCs w:val="32"/>
    </w:rPr>
  </w:style>
  <w:style w:type="paragraph" w:styleId="4">
    <w:name w:val="heading 3"/>
    <w:next w:val="1"/>
    <w:qFormat/>
    <w:uiPriority w:val="0"/>
    <w:pPr>
      <w:spacing w:before="300" w:after="120" w:line="288" w:lineRule="auto"/>
      <w:ind w:left="0"/>
      <w:jc w:val="left"/>
      <w:outlineLvl w:val="2"/>
    </w:pPr>
    <w:rPr>
      <w:rFonts w:ascii="Arial" w:hAnsi="Arial" w:eastAsia="等线" w:cs="Arial"/>
      <w:b/>
      <w:bCs/>
      <w:sz w:val="30"/>
      <w:szCs w:val="30"/>
    </w:rPr>
  </w:style>
  <w:style w:type="paragraph" w:styleId="5">
    <w:name w:val="heading 4"/>
    <w:next w:val="1"/>
    <w:qFormat/>
    <w:uiPriority w:val="0"/>
    <w:pPr>
      <w:spacing w:before="260" w:after="120" w:line="288" w:lineRule="auto"/>
      <w:ind w:left="0"/>
      <w:jc w:val="left"/>
      <w:outlineLvl w:val="3"/>
    </w:pPr>
    <w:rPr>
      <w:rFonts w:ascii="Arial" w:hAnsi="Arial" w:eastAsia="等线" w:cs="Arial"/>
      <w:b/>
      <w:bCs/>
      <w:sz w:val="28"/>
      <w:szCs w:val="28"/>
    </w:rPr>
  </w:style>
  <w:style w:type="paragraph" w:styleId="6">
    <w:name w:val="heading 5"/>
    <w:next w:val="1"/>
    <w:qFormat/>
    <w:uiPriority w:val="0"/>
    <w:pPr>
      <w:spacing w:before="240" w:after="120" w:line="288" w:lineRule="auto"/>
      <w:ind w:left="0"/>
      <w:jc w:val="left"/>
      <w:outlineLvl w:val="4"/>
    </w:pPr>
    <w:rPr>
      <w:rFonts w:ascii="Arial" w:hAnsi="Arial" w:eastAsia="等线" w:cs="Arial"/>
      <w:b/>
      <w:bCs/>
      <w:sz w:val="24"/>
      <w:szCs w:val="24"/>
    </w:rPr>
  </w:style>
  <w:style w:type="paragraph" w:styleId="7">
    <w:name w:val="heading 6"/>
    <w:next w:val="1"/>
    <w:qFormat/>
    <w:uiPriority w:val="0"/>
    <w:pPr>
      <w:spacing w:before="240" w:after="120" w:line="288" w:lineRule="auto"/>
      <w:ind w:left="0"/>
      <w:jc w:val="left"/>
      <w:outlineLvl w:val="5"/>
    </w:pPr>
    <w:rPr>
      <w:rFonts w:ascii="Arial" w:hAnsi="Arial" w:eastAsia="等线" w:cs="Arial"/>
      <w:b/>
      <w:bCs/>
      <w:sz w:val="24"/>
      <w:szCs w:val="24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caption"/>
    <w:basedOn w:val="1"/>
    <w:next w:val="1"/>
    <w:unhideWhenUsed/>
    <w:qFormat/>
    <w:uiPriority w:val="0"/>
    <w:pPr>
      <w:jc w:val="center"/>
    </w:pPr>
    <w:rPr>
      <w:rFonts w:eastAsia="黑体" w:asciiTheme="majorHAnsi" w:hAnsiTheme="majorHAnsi" w:cstheme="majorBidi"/>
    </w:rPr>
  </w:style>
  <w:style w:type="paragraph" w:styleId="9">
    <w:name w:val="Block Text"/>
    <w:qFormat/>
    <w:uiPriority w:val="0"/>
    <w:pPr>
      <w:kinsoku w:val="0"/>
      <w:adjustRightInd w:val="0"/>
      <w:snapToGrid w:val="0"/>
      <w:jc w:val="both"/>
    </w:pPr>
    <w:rPr>
      <w:rFonts w:ascii="微软雅黑" w:hAnsi="微软雅黑" w:eastAsia="微软雅黑" w:cs="微软雅黑"/>
      <w:sz w:val="24"/>
      <w:szCs w:val="21"/>
      <w:lang w:val="en-GB" w:eastAsia="zh-CN" w:bidi="ar-SA"/>
    </w:rPr>
  </w:style>
  <w:style w:type="paragraph" w:styleId="10">
    <w:name w:val="footnote text"/>
    <w:link w:val="18"/>
    <w:semiHidden/>
    <w:unhideWhenUsed/>
    <w:qFormat/>
    <w:uiPriority w:val="99"/>
    <w:pPr>
      <w:spacing w:after="0" w:line="240" w:lineRule="auto"/>
    </w:pPr>
    <w:rPr>
      <w:rFonts w:asciiTheme="minorHAnsi" w:hAnsiTheme="minorHAnsi" w:eastAsiaTheme="minorEastAsia" w:cstheme="minorBidi"/>
      <w:sz w:val="20"/>
      <w:szCs w:val="20"/>
    </w:rPr>
  </w:style>
  <w:style w:type="paragraph" w:styleId="11">
    <w:name w:val="Title"/>
    <w:qFormat/>
    <w:uiPriority w:val="0"/>
    <w:pPr>
      <w:spacing w:before="480" w:after="480" w:line="288" w:lineRule="auto"/>
      <w:ind w:left="0"/>
    </w:pPr>
    <w:rPr>
      <w:rFonts w:ascii="Arial" w:hAnsi="Arial" w:eastAsia="等线" w:cs="Arial"/>
      <w:b/>
      <w:bCs/>
      <w:sz w:val="52"/>
      <w:szCs w:val="52"/>
    </w:rPr>
  </w:style>
  <w:style w:type="table" w:styleId="13">
    <w:name w:val="Table Grid"/>
    <w:basedOn w:val="12"/>
    <w:qFormat/>
    <w:uiPriority w:val="5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unhideWhenUsed/>
    <w:qFormat/>
    <w:uiPriority w:val="99"/>
    <w:rPr>
      <w:color w:val="0563C1"/>
      <w:u w:val="single"/>
    </w:rPr>
  </w:style>
  <w:style w:type="character" w:styleId="16">
    <w:name w:val="footnote reference"/>
    <w:semiHidden/>
    <w:unhideWhenUsed/>
    <w:qFormat/>
    <w:uiPriority w:val="99"/>
    <w:rPr>
      <w:vertAlign w:val="superscript"/>
    </w:rPr>
  </w:style>
  <w:style w:type="paragraph" w:styleId="17">
    <w:name w:val="List Paragraph"/>
    <w:basedOn w:val="1"/>
    <w:qFormat/>
    <w:uiPriority w:val="0"/>
    <w:rPr>
      <w:sz w:val="21"/>
      <w:szCs w:val="22"/>
    </w:rPr>
  </w:style>
  <w:style w:type="character" w:customStyle="1" w:styleId="18">
    <w:name w:val="Footnote Text Char"/>
    <w:link w:val="10"/>
    <w:semiHidden/>
    <w:unhideWhenUsed/>
    <w:qFormat/>
    <w:uiPriority w:val="99"/>
    <w:rPr>
      <w:sz w:val="20"/>
      <w:szCs w:val="20"/>
    </w:rPr>
  </w:style>
  <w:style w:type="paragraph" w:customStyle="1" w:styleId="19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  <w:style w:type="paragraph" w:customStyle="1" w:styleId="20">
    <w:name w:val="_Style 14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color w:val="8F959E"/>
      <w:sz w:val="22"/>
      <w:szCs w:val="22"/>
    </w:rPr>
  </w:style>
  <w:style w:type="table" w:customStyle="1" w:styleId="21">
    <w:name w:val="清单表 1 浅色 - 着色 31"/>
    <w:basedOn w:val="12"/>
    <w:qFormat/>
    <w:uiPriority w:val="46"/>
    <w:tblStylePr w:type="firstRow">
      <w:rPr>
        <w:b/>
        <w:bCs/>
      </w:rPr>
      <w:tcPr>
        <w:tcBorders>
          <w:bottom w:val="single" w:color="C2D69B" w:themeColor="accent3" w:themeTint="99" w:sz="4" w:space="0"/>
        </w:tcBorders>
      </w:tcPr>
    </w:tblStylePr>
    <w:tblStylePr w:type="lastRow">
      <w:rPr>
        <w:b/>
        <w:bCs/>
      </w:rPr>
      <w:tcPr>
        <w:tcBorders>
          <w:top w:val="single" w:color="C2D69B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paragraph" w:styleId="22">
    <w:name w:val="No Spacing"/>
    <w:qFormat/>
    <w:uiPriority w:val="1"/>
    <w:pPr>
      <w:adjustRightInd w:val="0"/>
      <w:snapToGrid w:val="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table" w:customStyle="1" w:styleId="23">
    <w:name w:val="橙色表格1"/>
    <w:basedOn w:val="12"/>
    <w:qFormat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band1Horz">
      <w:tcPr>
        <w:shd w:val="clear" w:color="auto" w:fill="F2F2F2"/>
      </w:tcPr>
    </w:tblStyle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bm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3366</Words>
  <Characters>4626</Characters>
  <TotalTime>1</TotalTime>
  <ScaleCrop>false</ScaleCrop>
  <LinksUpToDate>false</LinksUpToDate>
  <CharactersWithSpaces>4628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2025-12-23T05:58:00Z</dcterms:created>
  <dc:creator>Un-named</dc:creator>
  <cp:lastModifiedBy>。</cp:lastModifiedBy>
  <dcterms:modified xsi:type="dcterms:W3CDTF">2025-12-26T11:46:58Z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eyJoZGlkIjoiMDMzNmJlNmRiYTJiZjdhYmVkYzg3MGQ3ZjJjYWU4ODMiLCJ1c2VySWQiOiI4MDYyNzIzOTcifQ==</vt:lpwstr>
  </property>
  <property fmtid="{D5CDD505-2E9C-101B-9397-08002B2CF9AE}" pid="3" name="KSOProductBuildVer">
    <vt:lpwstr>2052-12.1.0.23542</vt:lpwstr>
  </property>
  <property fmtid="{D5CDD505-2E9C-101B-9397-08002B2CF9AE}" pid="4" name="ICV">
    <vt:lpwstr>43B0871D1ABD4B2E88ABE785090B3523_13</vt:lpwstr>
  </property>
</Properties>
</file>