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1"/>
          <w:rFonts w:hint="eastAsia"/>
        </w:rPr>
        <w:id w:val="873810635"/>
        <w:placeholder>
          <w:docPart w:val="8538F4B404954043A17A9960683B0A3C"/>
        </w:placeholder>
        <w:text/>
      </w:sdtPr>
      <w:sdtEndPr>
        <w:rPr>
          <w:rStyle w:val="a0"/>
          <w:szCs w:val="21"/>
        </w:rPr>
      </w:sdtEndPr>
      <w:sdtContent>
        <w:p w:rsidR="008D1E26" w:rsidRDefault="008C338F">
          <w:r>
            <w:rPr>
              <w:rStyle w:val="1"/>
              <w:rFonts w:hint="eastAsia"/>
            </w:rPr>
            <w:t>该项目制订了垃圾分类收集与分类处理制度，在主要出入口的非人流区域设置了分类垃圾容器，并在地下室设置了集中分类收集站。垃圾容器的设置与景观进行了协调，设计风格一致。</w:t>
          </w:r>
        </w:p>
      </w:sdtContent>
    </w:sdt>
    <w:bookmarkStart w:id="0" w:name="_GoBack" w:displacedByCustomXml="prev"/>
    <w:bookmarkEnd w:id="0" w:displacedByCustomXml="prev"/>
    <w:sectPr w:rsidR="008D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8F"/>
    <w:rsid w:val="008C338F"/>
    <w:rsid w:val="008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7E3E4-0969-4C2C-B4E4-1327E4AC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"/>
    <w:basedOn w:val="a0"/>
    <w:uiPriority w:val="1"/>
    <w:rsid w:val="008C338F"/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38F4B404954043A17A9960683B0A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E58FA1-451A-457D-92C8-A08454475529}"/>
      </w:docPartPr>
      <w:docPartBody>
        <w:p w:rsidR="00000000" w:rsidRDefault="000B4241" w:rsidP="000B4241">
          <w:pPr>
            <w:pStyle w:val="8538F4B404954043A17A9960683B0A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41"/>
    <w:rsid w:val="000B4241"/>
    <w:rsid w:val="009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4241"/>
    <w:rPr>
      <w:color w:val="808080"/>
    </w:rPr>
  </w:style>
  <w:style w:type="paragraph" w:customStyle="1" w:styleId="8538F4B404954043A17A9960683B0A3C">
    <w:name w:val="8538F4B404954043A17A9960683B0A3C"/>
    <w:rsid w:val="000B42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2020-09-08T09:08:00Z</dcterms:created>
  <dcterms:modified xsi:type="dcterms:W3CDTF">2020-09-08T09:08:00Z</dcterms:modified>
</cp:coreProperties>
</file>