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51912">
      <w:pPr>
        <w:pStyle w:val="46"/>
        <w:rPr>
          <w:rFonts w:hint="eastAsia"/>
        </w:rPr>
      </w:pPr>
      <w:bookmarkStart w:id="169" w:name="_GoBack"/>
      <w:bookmarkEnd w:id="169"/>
    </w:p>
    <w:p w14:paraId="3D0E52EF">
      <w:pPr>
        <w:pStyle w:val="46"/>
        <w:rPr>
          <w:rFonts w:hint="eastAsia"/>
        </w:rPr>
      </w:pPr>
    </w:p>
    <w:p w14:paraId="59596F4D">
      <w:pPr>
        <w:pStyle w:val="46"/>
        <w:jc w:val="distribute"/>
        <w:rPr>
          <w:rFonts w:hint="eastAsia"/>
          <w:b/>
          <w:sz w:val="72"/>
          <w:szCs w:val="72"/>
        </w:rPr>
      </w:pPr>
      <w:r>
        <w:rPr>
          <w:rFonts w:hint="eastAsia"/>
          <w:b/>
          <w:sz w:val="72"/>
          <w:szCs w:val="72"/>
        </w:rPr>
        <w:t>室外风环境模拟分析报告</w:t>
      </w:r>
    </w:p>
    <w:p w14:paraId="2C88E2CE">
      <w:pPr>
        <w:pStyle w:val="50"/>
        <w:spacing w:line="400" w:lineRule="exact"/>
        <w:rPr>
          <w:rFonts w:hint="eastAsia"/>
        </w:rPr>
      </w:pPr>
    </w:p>
    <w:p w14:paraId="525D1911">
      <w:pPr>
        <w:pStyle w:val="50"/>
        <w:rPr>
          <w:rFonts w:hint="eastAsia"/>
          <w:b/>
        </w:rPr>
      </w:pPr>
      <w:bookmarkStart w:id="0" w:name="项目名称"/>
    </w:p>
    <w:p w14:paraId="22E8855E">
      <w:pPr>
        <w:pStyle w:val="50"/>
        <w:rPr>
          <w:rFonts w:hint="eastAsia"/>
          <w:b/>
        </w:rPr>
      </w:pPr>
      <w:r>
        <w:rPr>
          <w:rFonts w:hint="eastAsia"/>
          <w:b/>
        </w:rPr>
        <w:t>设计编号：</w:t>
      </w:r>
      <w:bookmarkStart w:id="1" w:name="设计编号"/>
    </w:p>
    <w:p w14:paraId="1273DC0B">
      <w:pPr>
        <w:pStyle w:val="50"/>
        <w:rPr>
          <w:rFonts w:hint="eastAsia"/>
          <w:b/>
        </w:rPr>
      </w:pPr>
    </w:p>
    <w:p w14:paraId="29530238">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775852C0">
      <w:pPr>
        <w:pStyle w:val="46"/>
        <w:jc w:val="center"/>
        <w:rPr>
          <w:rFonts w:hint="eastAsia"/>
        </w:rPr>
      </w:pPr>
    </w:p>
    <w:p w14:paraId="4CEDE521">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F563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45AB8D">
            <w:pPr>
              <w:pStyle w:val="46"/>
              <w:spacing w:line="240" w:lineRule="auto"/>
              <w:jc w:val="distribute"/>
              <w:rPr>
                <w:rFonts w:hint="eastAsia"/>
              </w:rPr>
            </w:pPr>
            <w:r>
              <w:rPr>
                <w:rFonts w:hint="eastAsia"/>
              </w:rPr>
              <w:t>工程地点</w:t>
            </w:r>
          </w:p>
        </w:tc>
        <w:tc>
          <w:tcPr>
            <w:tcW w:w="475" w:type="dxa"/>
            <w:vAlign w:val="center"/>
          </w:tcPr>
          <w:p w14:paraId="61A72408">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0DE429B8">
            <w:pPr>
              <w:pStyle w:val="46"/>
              <w:spacing w:line="240" w:lineRule="auto"/>
              <w:jc w:val="center"/>
              <w:rPr>
                <w:rFonts w:hint="eastAsia"/>
              </w:rPr>
            </w:pPr>
            <w:bookmarkStart w:id="3" w:name="工程地点"/>
            <w:bookmarkStart w:id="4" w:name="项目地点"/>
            <w:r>
              <w:t>马鞍山</w:t>
            </w:r>
          </w:p>
        </w:tc>
      </w:tr>
      <w:tr w14:paraId="5ABFE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52A4F8">
            <w:pPr>
              <w:pStyle w:val="46"/>
              <w:spacing w:line="240" w:lineRule="auto"/>
              <w:jc w:val="distribute"/>
              <w:rPr>
                <w:rFonts w:hint="eastAsia"/>
              </w:rPr>
            </w:pPr>
            <w:r>
              <w:rPr>
                <w:rFonts w:hint="eastAsia"/>
              </w:rPr>
              <w:t>建设单位</w:t>
            </w:r>
          </w:p>
        </w:tc>
        <w:tc>
          <w:tcPr>
            <w:tcW w:w="475" w:type="dxa"/>
            <w:vAlign w:val="center"/>
          </w:tcPr>
          <w:p w14:paraId="368A1BF0">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6954FB43">
            <w:pPr>
              <w:pStyle w:val="46"/>
              <w:spacing w:line="240" w:lineRule="auto"/>
              <w:jc w:val="center"/>
              <w:rPr>
                <w:rFonts w:hint="eastAsia"/>
              </w:rPr>
            </w:pPr>
            <w:bookmarkStart w:id="5" w:name="建设单位"/>
          </w:p>
        </w:tc>
      </w:tr>
      <w:tr w14:paraId="08F8E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F525DA">
            <w:pPr>
              <w:pStyle w:val="46"/>
              <w:spacing w:line="240" w:lineRule="auto"/>
              <w:jc w:val="distribute"/>
              <w:rPr>
                <w:rFonts w:hint="eastAsia"/>
              </w:rPr>
            </w:pPr>
            <w:r>
              <w:rPr>
                <w:rFonts w:hint="eastAsia"/>
              </w:rPr>
              <w:t>设计单位</w:t>
            </w:r>
          </w:p>
        </w:tc>
        <w:tc>
          <w:tcPr>
            <w:tcW w:w="475" w:type="dxa"/>
            <w:vAlign w:val="center"/>
          </w:tcPr>
          <w:p w14:paraId="0E13B041">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28FCEDF6">
            <w:pPr>
              <w:pStyle w:val="46"/>
              <w:spacing w:line="240" w:lineRule="auto"/>
              <w:jc w:val="center"/>
              <w:rPr>
                <w:rFonts w:hint="eastAsia"/>
              </w:rPr>
            </w:pPr>
            <w:bookmarkStart w:id="6" w:name="设计单位"/>
          </w:p>
        </w:tc>
      </w:tr>
      <w:tr w14:paraId="5A48C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F42309">
            <w:pPr>
              <w:pStyle w:val="46"/>
              <w:spacing w:line="240" w:lineRule="auto"/>
              <w:jc w:val="distribute"/>
              <w:rPr>
                <w:rFonts w:hint="eastAsia"/>
              </w:rPr>
            </w:pPr>
            <w:r>
              <w:rPr>
                <w:rFonts w:hint="eastAsia"/>
              </w:rPr>
              <w:t>设计人</w:t>
            </w:r>
          </w:p>
        </w:tc>
        <w:tc>
          <w:tcPr>
            <w:tcW w:w="475" w:type="dxa"/>
            <w:vAlign w:val="center"/>
          </w:tcPr>
          <w:p w14:paraId="0F1B8179">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B3CD2FD">
            <w:pPr>
              <w:pStyle w:val="46"/>
              <w:spacing w:line="240" w:lineRule="auto"/>
              <w:jc w:val="center"/>
              <w:rPr>
                <w:rFonts w:hint="eastAsia"/>
              </w:rPr>
            </w:pPr>
          </w:p>
        </w:tc>
      </w:tr>
      <w:tr w14:paraId="41095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A54A780">
            <w:pPr>
              <w:pStyle w:val="46"/>
              <w:spacing w:line="240" w:lineRule="auto"/>
              <w:jc w:val="distribute"/>
              <w:rPr>
                <w:rFonts w:hint="eastAsia"/>
              </w:rPr>
            </w:pPr>
            <w:r>
              <w:rPr>
                <w:rFonts w:hint="eastAsia"/>
              </w:rPr>
              <w:t>校对人</w:t>
            </w:r>
          </w:p>
        </w:tc>
        <w:tc>
          <w:tcPr>
            <w:tcW w:w="475" w:type="dxa"/>
            <w:vAlign w:val="center"/>
          </w:tcPr>
          <w:p w14:paraId="30F690C8">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685E1775">
            <w:pPr>
              <w:pStyle w:val="46"/>
              <w:spacing w:line="240" w:lineRule="auto"/>
              <w:jc w:val="center"/>
              <w:rPr>
                <w:rFonts w:hint="eastAsia"/>
              </w:rPr>
            </w:pPr>
          </w:p>
        </w:tc>
      </w:tr>
      <w:tr w14:paraId="29A72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52FBCC">
            <w:pPr>
              <w:pStyle w:val="46"/>
              <w:spacing w:line="240" w:lineRule="auto"/>
              <w:jc w:val="distribute"/>
              <w:rPr>
                <w:rFonts w:hint="eastAsia"/>
              </w:rPr>
            </w:pPr>
            <w:r>
              <w:rPr>
                <w:rFonts w:hint="eastAsia"/>
              </w:rPr>
              <w:t>审定人</w:t>
            </w:r>
          </w:p>
        </w:tc>
        <w:tc>
          <w:tcPr>
            <w:tcW w:w="475" w:type="dxa"/>
            <w:vAlign w:val="center"/>
          </w:tcPr>
          <w:p w14:paraId="58AEF72B">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20AD598">
            <w:pPr>
              <w:pStyle w:val="46"/>
              <w:spacing w:line="240" w:lineRule="auto"/>
              <w:jc w:val="center"/>
              <w:rPr>
                <w:rFonts w:hint="eastAsia"/>
              </w:rPr>
            </w:pPr>
          </w:p>
        </w:tc>
      </w:tr>
      <w:tr w14:paraId="1323B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79DBF2">
            <w:pPr>
              <w:pStyle w:val="46"/>
              <w:spacing w:line="240" w:lineRule="auto"/>
              <w:jc w:val="distribute"/>
              <w:rPr>
                <w:rFonts w:hint="eastAsia"/>
              </w:rPr>
            </w:pPr>
            <w:r>
              <w:rPr>
                <w:rFonts w:hint="eastAsia"/>
              </w:rPr>
              <w:t>报告日期</w:t>
            </w:r>
          </w:p>
        </w:tc>
        <w:tc>
          <w:tcPr>
            <w:tcW w:w="475" w:type="dxa"/>
            <w:vAlign w:val="center"/>
          </w:tcPr>
          <w:p w14:paraId="6E7958BE">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6B40BCAE">
            <w:pPr>
              <w:pStyle w:val="46"/>
              <w:spacing w:line="240" w:lineRule="auto"/>
              <w:jc w:val="center"/>
              <w:rPr>
                <w:rFonts w:hint="eastAsia"/>
              </w:rPr>
            </w:pPr>
            <w:bookmarkStart w:id="7" w:name="报告日期"/>
            <w:r>
              <w:t>2026年04月14日</w:t>
            </w:r>
          </w:p>
        </w:tc>
      </w:tr>
    </w:tbl>
    <w:p w14:paraId="44195342">
      <w:pPr>
        <w:rPr>
          <w:rFonts w:hint="eastAsia"/>
        </w:rPr>
      </w:pPr>
    </w:p>
    <w:p w14:paraId="4AFBB9B4">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F036F0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B7D7659">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33769682">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1E8C0B44">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2DFE0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2263C8C">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FC68D26">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4B795DEE">
            <w:pPr>
              <w:spacing w:line="360" w:lineRule="exact"/>
              <w:ind w:firstLine="360"/>
              <w:rPr>
                <w:rFonts w:hint="eastAsia"/>
                <w:sz w:val="18"/>
                <w:szCs w:val="18"/>
              </w:rPr>
            </w:pPr>
          </w:p>
        </w:tc>
      </w:tr>
      <w:tr w14:paraId="5DD74FA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DD68A2A">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2B58820F">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0A680091">
            <w:pPr>
              <w:spacing w:line="360" w:lineRule="exact"/>
              <w:ind w:firstLine="360"/>
              <w:rPr>
                <w:rFonts w:hint="eastAsia"/>
                <w:sz w:val="18"/>
                <w:szCs w:val="18"/>
              </w:rPr>
            </w:pPr>
          </w:p>
        </w:tc>
      </w:tr>
      <w:tr w14:paraId="453599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4BBB277">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943EC4E">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1FB3AF6">
            <w:pPr>
              <w:spacing w:line="360" w:lineRule="exact"/>
              <w:ind w:firstLine="360"/>
              <w:rPr>
                <w:rFonts w:hint="eastAsia"/>
                <w:sz w:val="18"/>
                <w:szCs w:val="18"/>
              </w:rPr>
            </w:pPr>
          </w:p>
        </w:tc>
      </w:tr>
    </w:tbl>
    <w:p w14:paraId="01C79501">
      <w:pPr>
        <w:jc w:val="center"/>
        <w:rPr>
          <w:rFonts w:hint="eastAsia"/>
          <w:b/>
          <w:bCs/>
          <w:sz w:val="32"/>
          <w:szCs w:val="32"/>
        </w:rPr>
      </w:pPr>
      <w:r>
        <w:rPr>
          <w:b/>
          <w:bCs/>
          <w:sz w:val="28"/>
          <w:szCs w:val="32"/>
        </w:rPr>
        <w:br w:type="page"/>
      </w:r>
      <w:r>
        <w:rPr>
          <w:rFonts w:hint="eastAsia"/>
          <w:b/>
          <w:bCs/>
          <w:sz w:val="28"/>
          <w:szCs w:val="32"/>
        </w:rPr>
        <w:t>目  录</w:t>
      </w:r>
    </w:p>
    <w:p w14:paraId="561FBB2E">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_Toc19067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_Toc19067 \h </w:instrText>
      </w:r>
      <w:r>
        <w:fldChar w:fldCharType="separate"/>
      </w:r>
      <w:r>
        <w:t>3</w:t>
      </w:r>
      <w:r>
        <w:fldChar w:fldCharType="end"/>
      </w:r>
      <w:r>
        <w:rPr>
          <w:caps/>
        </w:rPr>
        <w:fldChar w:fldCharType="end"/>
      </w:r>
    </w:p>
    <w:p w14:paraId="2963A6D9">
      <w:pPr>
        <w:pStyle w:val="20"/>
        <w:tabs>
          <w:tab w:val="right" w:leader="dot" w:pos="8306"/>
          <w:tab w:val="clear" w:pos="540"/>
          <w:tab w:val="clear" w:pos="840"/>
          <w:tab w:val="clear" w:pos="8222"/>
          <w:tab w:val="clear" w:pos="8296"/>
        </w:tabs>
      </w:pPr>
      <w:r>
        <w:fldChar w:fldCharType="begin"/>
      </w:r>
      <w:r>
        <w:instrText xml:space="preserve"> HYPERLINK \l _Toc24429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_Toc24429 \h </w:instrText>
      </w:r>
      <w:r>
        <w:fldChar w:fldCharType="separate"/>
      </w:r>
      <w:r>
        <w:t>3</w:t>
      </w:r>
      <w:r>
        <w:fldChar w:fldCharType="end"/>
      </w:r>
      <w:r>
        <w:fldChar w:fldCharType="end"/>
      </w:r>
    </w:p>
    <w:p w14:paraId="70689F5F">
      <w:pPr>
        <w:pStyle w:val="19"/>
        <w:tabs>
          <w:tab w:val="right" w:leader="dot" w:pos="8306"/>
          <w:tab w:val="clear" w:pos="180"/>
          <w:tab w:val="clear" w:pos="420"/>
          <w:tab w:val="clear" w:pos="8222"/>
        </w:tabs>
      </w:pPr>
      <w:r>
        <w:fldChar w:fldCharType="begin"/>
      </w:r>
      <w:r>
        <w:instrText xml:space="preserve"> HYPERLINK \l _Toc17962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_Toc17962 \h </w:instrText>
      </w:r>
      <w:r>
        <w:fldChar w:fldCharType="separate"/>
      </w:r>
      <w:r>
        <w:t>4</w:t>
      </w:r>
      <w:r>
        <w:fldChar w:fldCharType="end"/>
      </w:r>
      <w:r>
        <w:fldChar w:fldCharType="end"/>
      </w:r>
    </w:p>
    <w:p w14:paraId="306BF5CF">
      <w:pPr>
        <w:pStyle w:val="19"/>
        <w:tabs>
          <w:tab w:val="right" w:leader="dot" w:pos="8306"/>
          <w:tab w:val="clear" w:pos="180"/>
          <w:tab w:val="clear" w:pos="420"/>
          <w:tab w:val="clear" w:pos="8222"/>
        </w:tabs>
      </w:pPr>
      <w:r>
        <w:fldChar w:fldCharType="begin"/>
      </w:r>
      <w:r>
        <w:instrText xml:space="preserve"> HYPERLINK \l _Toc873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_Toc873 \h </w:instrText>
      </w:r>
      <w:r>
        <w:fldChar w:fldCharType="separate"/>
      </w:r>
      <w:r>
        <w:t>4</w:t>
      </w:r>
      <w:r>
        <w:fldChar w:fldCharType="end"/>
      </w:r>
      <w:r>
        <w:fldChar w:fldCharType="end"/>
      </w:r>
    </w:p>
    <w:p w14:paraId="31CCAD67">
      <w:pPr>
        <w:pStyle w:val="19"/>
        <w:tabs>
          <w:tab w:val="right" w:leader="dot" w:pos="8306"/>
          <w:tab w:val="clear" w:pos="180"/>
          <w:tab w:val="clear" w:pos="420"/>
          <w:tab w:val="clear" w:pos="8222"/>
        </w:tabs>
      </w:pPr>
      <w:r>
        <w:fldChar w:fldCharType="begin"/>
      </w:r>
      <w:r>
        <w:instrText xml:space="preserve"> HYPERLINK \l _Toc4276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_Toc4276 \h </w:instrText>
      </w:r>
      <w:r>
        <w:fldChar w:fldCharType="separate"/>
      </w:r>
      <w:r>
        <w:t>5</w:t>
      </w:r>
      <w:r>
        <w:fldChar w:fldCharType="end"/>
      </w:r>
      <w:r>
        <w:fldChar w:fldCharType="end"/>
      </w:r>
    </w:p>
    <w:p w14:paraId="59E6CB2B">
      <w:pPr>
        <w:pStyle w:val="20"/>
        <w:tabs>
          <w:tab w:val="right" w:leader="dot" w:pos="8306"/>
          <w:tab w:val="clear" w:pos="540"/>
          <w:tab w:val="clear" w:pos="840"/>
          <w:tab w:val="clear" w:pos="8222"/>
          <w:tab w:val="clear" w:pos="8296"/>
        </w:tabs>
      </w:pPr>
      <w:r>
        <w:fldChar w:fldCharType="begin"/>
      </w:r>
      <w:r>
        <w:instrText xml:space="preserve"> HYPERLINK \l _Toc3432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_Toc3432 \h </w:instrText>
      </w:r>
      <w:r>
        <w:fldChar w:fldCharType="separate"/>
      </w:r>
      <w:r>
        <w:t>5</w:t>
      </w:r>
      <w:r>
        <w:fldChar w:fldCharType="end"/>
      </w:r>
      <w:r>
        <w:fldChar w:fldCharType="end"/>
      </w:r>
    </w:p>
    <w:p w14:paraId="537F0E7D">
      <w:pPr>
        <w:pStyle w:val="20"/>
        <w:tabs>
          <w:tab w:val="right" w:leader="dot" w:pos="8306"/>
          <w:tab w:val="clear" w:pos="540"/>
          <w:tab w:val="clear" w:pos="840"/>
          <w:tab w:val="clear" w:pos="8222"/>
          <w:tab w:val="clear" w:pos="8296"/>
        </w:tabs>
      </w:pPr>
      <w:r>
        <w:fldChar w:fldCharType="begin"/>
      </w:r>
      <w:r>
        <w:instrText xml:space="preserve"> HYPERLINK \l _Toc3710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_Toc3710 \h </w:instrText>
      </w:r>
      <w:r>
        <w:fldChar w:fldCharType="separate"/>
      </w:r>
      <w:r>
        <w:t>8</w:t>
      </w:r>
      <w:r>
        <w:fldChar w:fldCharType="end"/>
      </w:r>
      <w:r>
        <w:fldChar w:fldCharType="end"/>
      </w:r>
    </w:p>
    <w:p w14:paraId="1219AC35">
      <w:pPr>
        <w:pStyle w:val="20"/>
        <w:tabs>
          <w:tab w:val="right" w:leader="dot" w:pos="8306"/>
          <w:tab w:val="clear" w:pos="540"/>
          <w:tab w:val="clear" w:pos="840"/>
          <w:tab w:val="clear" w:pos="8222"/>
          <w:tab w:val="clear" w:pos="8296"/>
        </w:tabs>
      </w:pPr>
      <w:r>
        <w:fldChar w:fldCharType="begin"/>
      </w:r>
      <w:r>
        <w:instrText xml:space="preserve"> HYPERLINK \l _Toc14037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_Toc14037 \h </w:instrText>
      </w:r>
      <w:r>
        <w:fldChar w:fldCharType="separate"/>
      </w:r>
      <w:r>
        <w:t>12</w:t>
      </w:r>
      <w:r>
        <w:fldChar w:fldCharType="end"/>
      </w:r>
      <w:r>
        <w:fldChar w:fldCharType="end"/>
      </w:r>
    </w:p>
    <w:p w14:paraId="74A8F8B4">
      <w:pPr>
        <w:pStyle w:val="20"/>
        <w:tabs>
          <w:tab w:val="right" w:leader="dot" w:pos="8306"/>
          <w:tab w:val="clear" w:pos="540"/>
          <w:tab w:val="clear" w:pos="840"/>
          <w:tab w:val="clear" w:pos="8222"/>
          <w:tab w:val="clear" w:pos="8296"/>
        </w:tabs>
      </w:pPr>
      <w:r>
        <w:fldChar w:fldCharType="begin"/>
      </w:r>
      <w:r>
        <w:instrText xml:space="preserve"> HYPERLINK \l _Toc18296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_Toc18296 \h </w:instrText>
      </w:r>
      <w:r>
        <w:fldChar w:fldCharType="separate"/>
      </w:r>
      <w:r>
        <w:t>14</w:t>
      </w:r>
      <w:r>
        <w:fldChar w:fldCharType="end"/>
      </w:r>
      <w:r>
        <w:fldChar w:fldCharType="end"/>
      </w:r>
    </w:p>
    <w:p w14:paraId="46177F2F">
      <w:pPr>
        <w:pStyle w:val="20"/>
        <w:tabs>
          <w:tab w:val="right" w:leader="dot" w:pos="8306"/>
          <w:tab w:val="clear" w:pos="540"/>
          <w:tab w:val="clear" w:pos="840"/>
          <w:tab w:val="clear" w:pos="8222"/>
          <w:tab w:val="clear" w:pos="8296"/>
        </w:tabs>
      </w:pPr>
      <w:r>
        <w:fldChar w:fldCharType="begin"/>
      </w:r>
      <w:r>
        <w:instrText xml:space="preserve"> HYPERLINK \l _Toc4937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_Toc4937 \h </w:instrText>
      </w:r>
      <w:r>
        <w:fldChar w:fldCharType="separate"/>
      </w:r>
      <w:r>
        <w:t>14</w:t>
      </w:r>
      <w:r>
        <w:fldChar w:fldCharType="end"/>
      </w:r>
      <w:r>
        <w:fldChar w:fldCharType="end"/>
      </w:r>
    </w:p>
    <w:p w14:paraId="2301E35D">
      <w:pPr>
        <w:pStyle w:val="20"/>
        <w:tabs>
          <w:tab w:val="right" w:leader="dot" w:pos="8306"/>
          <w:tab w:val="clear" w:pos="540"/>
          <w:tab w:val="clear" w:pos="840"/>
          <w:tab w:val="clear" w:pos="8222"/>
          <w:tab w:val="clear" w:pos="8296"/>
        </w:tabs>
      </w:pPr>
      <w:r>
        <w:fldChar w:fldCharType="begin"/>
      </w:r>
      <w:r>
        <w:instrText xml:space="preserve"> HYPERLINK \l _Toc9876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_Toc9876 \h </w:instrText>
      </w:r>
      <w:r>
        <w:fldChar w:fldCharType="separate"/>
      </w:r>
      <w:r>
        <w:t>15</w:t>
      </w:r>
      <w:r>
        <w:fldChar w:fldCharType="end"/>
      </w:r>
      <w:r>
        <w:fldChar w:fldCharType="end"/>
      </w:r>
    </w:p>
    <w:p w14:paraId="4036DF8E">
      <w:pPr>
        <w:pStyle w:val="19"/>
        <w:tabs>
          <w:tab w:val="right" w:leader="dot" w:pos="8306"/>
          <w:tab w:val="clear" w:pos="180"/>
          <w:tab w:val="clear" w:pos="420"/>
          <w:tab w:val="clear" w:pos="8222"/>
        </w:tabs>
      </w:pPr>
      <w:r>
        <w:fldChar w:fldCharType="begin"/>
      </w:r>
      <w:r>
        <w:instrText xml:space="preserve"> HYPERLINK \l _Toc30889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_Toc30889 \h </w:instrText>
      </w:r>
      <w:r>
        <w:fldChar w:fldCharType="separate"/>
      </w:r>
      <w:r>
        <w:t>16</w:t>
      </w:r>
      <w:r>
        <w:fldChar w:fldCharType="end"/>
      </w:r>
      <w:r>
        <w:fldChar w:fldCharType="end"/>
      </w:r>
    </w:p>
    <w:p w14:paraId="00593316">
      <w:pPr>
        <w:pStyle w:val="20"/>
        <w:tabs>
          <w:tab w:val="right" w:leader="dot" w:pos="8306"/>
          <w:tab w:val="clear" w:pos="540"/>
          <w:tab w:val="clear" w:pos="840"/>
          <w:tab w:val="clear" w:pos="8222"/>
          <w:tab w:val="clear" w:pos="8296"/>
        </w:tabs>
      </w:pPr>
      <w:r>
        <w:fldChar w:fldCharType="begin"/>
      </w:r>
      <w:r>
        <w:instrText xml:space="preserve"> HYPERLINK \l _Toc19964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_Toc19964 \h </w:instrText>
      </w:r>
      <w:r>
        <w:fldChar w:fldCharType="separate"/>
      </w:r>
      <w:r>
        <w:t>16</w:t>
      </w:r>
      <w:r>
        <w:fldChar w:fldCharType="end"/>
      </w:r>
      <w:r>
        <w:fldChar w:fldCharType="end"/>
      </w:r>
    </w:p>
    <w:p w14:paraId="148F2925">
      <w:pPr>
        <w:pStyle w:val="20"/>
        <w:tabs>
          <w:tab w:val="right" w:leader="dot" w:pos="8306"/>
          <w:tab w:val="clear" w:pos="540"/>
          <w:tab w:val="clear" w:pos="840"/>
          <w:tab w:val="clear" w:pos="8222"/>
          <w:tab w:val="clear" w:pos="8296"/>
        </w:tabs>
      </w:pPr>
      <w:r>
        <w:fldChar w:fldCharType="begin"/>
      </w:r>
      <w:r>
        <w:instrText xml:space="preserve"> HYPERLINK \l _Toc23808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_Toc23808 \h </w:instrText>
      </w:r>
      <w:r>
        <w:fldChar w:fldCharType="separate"/>
      </w:r>
      <w:r>
        <w:t>17</w:t>
      </w:r>
      <w:r>
        <w:fldChar w:fldCharType="end"/>
      </w:r>
      <w:r>
        <w:fldChar w:fldCharType="end"/>
      </w:r>
    </w:p>
    <w:p w14:paraId="53C76FC4">
      <w:pPr>
        <w:pStyle w:val="20"/>
        <w:tabs>
          <w:tab w:val="right" w:leader="dot" w:pos="8306"/>
          <w:tab w:val="clear" w:pos="540"/>
          <w:tab w:val="clear" w:pos="840"/>
          <w:tab w:val="clear" w:pos="8222"/>
          <w:tab w:val="clear" w:pos="8296"/>
        </w:tabs>
      </w:pPr>
      <w:r>
        <w:fldChar w:fldCharType="begin"/>
      </w:r>
      <w:r>
        <w:instrText xml:space="preserve"> HYPERLINK \l _Toc28138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_Toc28138 \h </w:instrText>
      </w:r>
      <w:r>
        <w:fldChar w:fldCharType="separate"/>
      </w:r>
      <w:r>
        <w:t>21</w:t>
      </w:r>
      <w:r>
        <w:fldChar w:fldCharType="end"/>
      </w:r>
      <w:r>
        <w:fldChar w:fldCharType="end"/>
      </w:r>
    </w:p>
    <w:p w14:paraId="46E07D98">
      <w:pPr>
        <w:pStyle w:val="20"/>
        <w:tabs>
          <w:tab w:val="right" w:leader="dot" w:pos="8306"/>
          <w:tab w:val="clear" w:pos="540"/>
          <w:tab w:val="clear" w:pos="840"/>
          <w:tab w:val="clear" w:pos="8222"/>
          <w:tab w:val="clear" w:pos="8296"/>
        </w:tabs>
      </w:pPr>
      <w:r>
        <w:fldChar w:fldCharType="begin"/>
      </w:r>
      <w:r>
        <w:instrText xml:space="preserve"> HYPERLINK \l _Toc122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_Toc122 \h </w:instrText>
      </w:r>
      <w:r>
        <w:fldChar w:fldCharType="separate"/>
      </w:r>
      <w:r>
        <w:t>26</w:t>
      </w:r>
      <w:r>
        <w:fldChar w:fldCharType="end"/>
      </w:r>
      <w:r>
        <w:fldChar w:fldCharType="end"/>
      </w:r>
    </w:p>
    <w:p w14:paraId="62C0E334">
      <w:pPr>
        <w:pStyle w:val="19"/>
        <w:tabs>
          <w:tab w:val="right" w:leader="dot" w:pos="8306"/>
          <w:tab w:val="clear" w:pos="180"/>
          <w:tab w:val="clear" w:pos="420"/>
          <w:tab w:val="clear" w:pos="8222"/>
        </w:tabs>
      </w:pPr>
      <w:r>
        <w:fldChar w:fldCharType="begin"/>
      </w:r>
      <w:r>
        <w:instrText xml:space="preserve"> HYPERLINK \l _Toc15184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_Toc15184 \h </w:instrText>
      </w:r>
      <w:r>
        <w:fldChar w:fldCharType="separate"/>
      </w:r>
      <w:r>
        <w:t>30</w:t>
      </w:r>
      <w:r>
        <w:fldChar w:fldCharType="end"/>
      </w:r>
      <w:r>
        <w:fldChar w:fldCharType="end"/>
      </w:r>
    </w:p>
    <w:p w14:paraId="6D8EF517">
      <w:pPr>
        <w:pStyle w:val="20"/>
        <w:tabs>
          <w:tab w:val="right" w:leader="dot" w:pos="8306"/>
          <w:tab w:val="clear" w:pos="540"/>
          <w:tab w:val="clear" w:pos="840"/>
          <w:tab w:val="clear" w:pos="8222"/>
          <w:tab w:val="clear" w:pos="8296"/>
        </w:tabs>
      </w:pPr>
      <w:r>
        <w:fldChar w:fldCharType="begin"/>
      </w:r>
      <w:r>
        <w:instrText xml:space="preserve"> HYPERLINK \l _Toc11243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_Toc11243 \h </w:instrText>
      </w:r>
      <w:r>
        <w:fldChar w:fldCharType="separate"/>
      </w:r>
      <w:r>
        <w:t>30</w:t>
      </w:r>
      <w:r>
        <w:fldChar w:fldCharType="end"/>
      </w:r>
      <w:r>
        <w:fldChar w:fldCharType="end"/>
      </w:r>
    </w:p>
    <w:p w14:paraId="57895A0B">
      <w:pPr>
        <w:pStyle w:val="20"/>
        <w:tabs>
          <w:tab w:val="right" w:leader="dot" w:pos="8306"/>
          <w:tab w:val="clear" w:pos="540"/>
          <w:tab w:val="clear" w:pos="840"/>
          <w:tab w:val="clear" w:pos="8222"/>
          <w:tab w:val="clear" w:pos="8296"/>
        </w:tabs>
      </w:pPr>
      <w:r>
        <w:fldChar w:fldCharType="begin"/>
      </w:r>
      <w:r>
        <w:instrText xml:space="preserve"> HYPERLINK \l _Toc19635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_Toc19635 \h </w:instrText>
      </w:r>
      <w:r>
        <w:fldChar w:fldCharType="separate"/>
      </w:r>
      <w:r>
        <w:t>31</w:t>
      </w:r>
      <w:r>
        <w:fldChar w:fldCharType="end"/>
      </w:r>
      <w:r>
        <w:fldChar w:fldCharType="end"/>
      </w:r>
    </w:p>
    <w:p w14:paraId="6B573123">
      <w:pPr>
        <w:pStyle w:val="19"/>
        <w:tabs>
          <w:tab w:val="right" w:leader="dot" w:pos="8306"/>
          <w:tab w:val="clear" w:pos="180"/>
          <w:tab w:val="clear" w:pos="420"/>
          <w:tab w:val="clear" w:pos="8222"/>
        </w:tabs>
      </w:pPr>
      <w:r>
        <w:fldChar w:fldCharType="begin"/>
      </w:r>
      <w:r>
        <w:instrText xml:space="preserve"> HYPERLINK \l _Toc20671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_Toc20671 \h </w:instrText>
      </w:r>
      <w:r>
        <w:fldChar w:fldCharType="separate"/>
      </w:r>
      <w:r>
        <w:t>31</w:t>
      </w:r>
      <w:r>
        <w:fldChar w:fldCharType="end"/>
      </w:r>
      <w:r>
        <w:fldChar w:fldCharType="end"/>
      </w:r>
    </w:p>
    <w:p w14:paraId="2741B971">
      <w:pPr>
        <w:pStyle w:val="20"/>
        <w:tabs>
          <w:tab w:val="right" w:leader="dot" w:pos="8306"/>
          <w:tab w:val="clear" w:pos="540"/>
          <w:tab w:val="clear" w:pos="840"/>
          <w:tab w:val="clear" w:pos="8222"/>
          <w:tab w:val="clear" w:pos="8296"/>
        </w:tabs>
      </w:pPr>
      <w:r>
        <w:fldChar w:fldCharType="begin"/>
      </w:r>
      <w:r>
        <w:instrText xml:space="preserve"> HYPERLINK \l _Toc5860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_Toc5860 \h </w:instrText>
      </w:r>
      <w:r>
        <w:fldChar w:fldCharType="separate"/>
      </w:r>
      <w:r>
        <w:t>31</w:t>
      </w:r>
      <w:r>
        <w:fldChar w:fldCharType="end"/>
      </w:r>
      <w:r>
        <w:fldChar w:fldCharType="end"/>
      </w:r>
    </w:p>
    <w:p w14:paraId="2123AA3F">
      <w:pPr>
        <w:pStyle w:val="20"/>
        <w:tabs>
          <w:tab w:val="right" w:leader="dot" w:pos="8306"/>
          <w:tab w:val="clear" w:pos="540"/>
          <w:tab w:val="clear" w:pos="840"/>
          <w:tab w:val="clear" w:pos="8222"/>
          <w:tab w:val="clear" w:pos="8296"/>
        </w:tabs>
      </w:pPr>
      <w:r>
        <w:fldChar w:fldCharType="begin"/>
      </w:r>
      <w:r>
        <w:instrText xml:space="preserve"> HYPERLINK \l _Toc32076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_Toc32076 \h </w:instrText>
      </w:r>
      <w:r>
        <w:fldChar w:fldCharType="separate"/>
      </w:r>
      <w:r>
        <w:t>31</w:t>
      </w:r>
      <w:r>
        <w:fldChar w:fldCharType="end"/>
      </w:r>
      <w:r>
        <w:fldChar w:fldCharType="end"/>
      </w:r>
    </w:p>
    <w:p w14:paraId="09FEB3BD">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2031EE4">
      <w:pPr>
        <w:pStyle w:val="2"/>
        <w:rPr>
          <w:rFonts w:hint="eastAsia" w:ascii="微软雅黑" w:hAnsi="微软雅黑"/>
        </w:rPr>
      </w:pPr>
      <w:bookmarkStart w:id="12" w:name="_Toc19067"/>
      <w:bookmarkStart w:id="13" w:name="_Toc452108759"/>
      <w:r>
        <w:rPr>
          <w:rFonts w:hint="eastAsia" w:ascii="微软雅黑" w:hAnsi="微软雅黑"/>
        </w:rPr>
        <w:t>项目概况</w:t>
      </w:r>
      <w:bookmarkEnd w:id="12"/>
    </w:p>
    <w:p w14:paraId="4BD202B2">
      <w:pPr>
        <w:ind w:firstLine="424" w:firstLineChars="202"/>
        <w:rPr>
          <w:rFonts w:hint="eastAsia"/>
          <w:lang w:val="en-US"/>
        </w:rPr>
      </w:pPr>
      <w:bookmarkStart w:id="14" w:name="项目概况"/>
    </w:p>
    <w:p w14:paraId="023280D3">
      <w:pPr>
        <w:pStyle w:val="3"/>
        <w:ind w:firstLine="420"/>
        <w:rPr>
          <w:rFonts w:hint="eastAsia" w:ascii="微软雅黑" w:hAnsi="微软雅黑" w:eastAsia="微软雅黑"/>
          <w:lang w:val="en-US"/>
        </w:rPr>
      </w:pPr>
    </w:p>
    <w:p w14:paraId="4BF652AB">
      <w:pPr>
        <w:pStyle w:val="4"/>
        <w:rPr>
          <w:rFonts w:hint="eastAsia"/>
        </w:rPr>
      </w:pPr>
      <w:bookmarkStart w:id="15" w:name="_Toc24429"/>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7F3E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898783"/>
          </w:tcPr>
          <w:p w14:paraId="408CB17E">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56D1313D">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53497660">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13602F5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185F25EC">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39AC9BED">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05D2B06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2C528886">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161506D9">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20EA8B6F">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4DA7BA14">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DCD1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4FAADEEC">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5A3DA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517DD8DE">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5A50E5E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2EB4F426">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1E2C7C05">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49624346">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3DA1A49">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725DE5B5">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47B05721">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BD15FAD">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578C5BC7">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138CCE8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568ADD83">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AAE1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1CCA30AB">
            <w:pPr>
              <w:pStyle w:val="3"/>
              <w:spacing w:line="80" w:lineRule="exact"/>
              <w:ind w:firstLine="0" w:firstLineChars="0"/>
              <w:jc w:val="center"/>
              <w:rPr>
                <w:rFonts w:hint="eastAsia" w:ascii="微软雅黑" w:hAnsi="微软雅黑" w:eastAsia="微软雅黑"/>
                <w:sz w:val="18"/>
                <w:szCs w:val="18"/>
                <w:lang w:val="en-US"/>
              </w:rPr>
            </w:pPr>
          </w:p>
        </w:tc>
      </w:tr>
      <w:tr w14:paraId="3385F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14CFD2A7">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5E7D560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7950DBEE">
            <w:pPr>
              <w:pStyle w:val="3"/>
              <w:spacing w:line="220" w:lineRule="exact"/>
              <w:ind w:firstLine="0" w:firstLineChars="0"/>
              <w:jc w:val="center"/>
              <w:rPr>
                <w:rFonts w:hint="eastAsia" w:ascii="微软雅黑" w:hAnsi="微软雅黑" w:eastAsia="微软雅黑"/>
                <w:sz w:val="18"/>
                <w:szCs w:val="18"/>
                <w:lang w:val="en-US"/>
              </w:rPr>
            </w:pPr>
          </w:p>
        </w:tc>
      </w:tr>
    </w:tbl>
    <w:p w14:paraId="6B83A082">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3680E09C">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528F092C">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1B3073B1">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33CF89A9">
      <w:pPr>
        <w:pStyle w:val="3"/>
        <w:ind w:firstLine="0" w:firstLineChars="0"/>
        <w:rPr>
          <w:rFonts w:hint="eastAsia" w:ascii="微软雅黑" w:hAnsi="微软雅黑" w:eastAsia="微软雅黑"/>
          <w:lang w:val="en-US"/>
        </w:rPr>
      </w:pPr>
    </w:p>
    <w:p w14:paraId="0FFB5B39">
      <w:pPr>
        <w:pStyle w:val="2"/>
        <w:rPr>
          <w:rFonts w:hint="eastAsia" w:ascii="微软雅黑" w:hAnsi="微软雅黑"/>
        </w:rPr>
      </w:pPr>
      <w:bookmarkStart w:id="20" w:name="_Toc17962"/>
      <w:bookmarkStart w:id="21" w:name="TitleFormat"/>
      <w:bookmarkStart w:id="22" w:name="_Toc452108762"/>
      <w:r>
        <w:rPr>
          <w:rFonts w:hint="eastAsia" w:ascii="微软雅黑" w:hAnsi="微软雅黑"/>
        </w:rPr>
        <w:t>计算</w:t>
      </w:r>
      <w:r>
        <w:rPr>
          <w:rFonts w:ascii="微软雅黑" w:hAnsi="微软雅黑"/>
        </w:rPr>
        <w:t>依据</w:t>
      </w:r>
      <w:bookmarkEnd w:id="20"/>
    </w:p>
    <w:p w14:paraId="1C8F6026">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7F0BAFD9">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23C38B43">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04A63259">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3E3EBFD0">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047E8EA">
      <w:pPr>
        <w:pStyle w:val="2"/>
        <w:rPr>
          <w:rFonts w:hint="eastAsia" w:ascii="微软雅黑" w:hAnsi="微软雅黑"/>
        </w:rPr>
      </w:pPr>
      <w:bookmarkStart w:id="24" w:name="_Toc873"/>
      <w:bookmarkStart w:id="25" w:name="_Toc452108763"/>
      <w:r>
        <w:rPr>
          <w:rFonts w:hint="eastAsia" w:ascii="微软雅黑" w:hAnsi="微软雅黑"/>
        </w:rPr>
        <w:t>参考</w:t>
      </w:r>
      <w:r>
        <w:rPr>
          <w:rFonts w:ascii="微软雅黑" w:hAnsi="微软雅黑"/>
        </w:rPr>
        <w:t>标准</w:t>
      </w:r>
      <w:bookmarkEnd w:id="24"/>
    </w:p>
    <w:p w14:paraId="7E411579">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45CA2CA1">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7C1E120">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537AC626">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6A075A01">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5436412B">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54FBFFC">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696D6DC6">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51D7D68B">
      <w:pPr>
        <w:pStyle w:val="2"/>
        <w:rPr>
          <w:rFonts w:hint="eastAsia" w:ascii="微软雅黑" w:hAnsi="微软雅黑"/>
        </w:rPr>
      </w:pPr>
      <w:bookmarkStart w:id="34" w:name="_Toc4276"/>
      <w:r>
        <w:rPr>
          <w:rFonts w:hint="eastAsia" w:ascii="微软雅黑" w:hAnsi="微软雅黑"/>
        </w:rPr>
        <w:t>计算原理</w:t>
      </w:r>
      <w:bookmarkEnd w:id="27"/>
      <w:bookmarkEnd w:id="34"/>
    </w:p>
    <w:p w14:paraId="247F7929">
      <w:pPr>
        <w:pStyle w:val="4"/>
        <w:numPr>
          <w:ilvl w:val="1"/>
          <w:numId w:val="3"/>
        </w:numPr>
        <w:rPr>
          <w:rFonts w:hint="eastAsia"/>
        </w:rPr>
      </w:pPr>
      <w:bookmarkStart w:id="35" w:name="_Toc509844740"/>
      <w:bookmarkStart w:id="36" w:name="_Toc3432"/>
      <w:bookmarkStart w:id="37" w:name="_Toc451698937"/>
      <w:bookmarkStart w:id="38" w:name="_Toc452108765"/>
      <w:r>
        <w:rPr>
          <w:rFonts w:hint="eastAsia"/>
        </w:rPr>
        <w:t>风场计算域</w:t>
      </w:r>
      <w:bookmarkEnd w:id="35"/>
      <w:bookmarkEnd w:id="36"/>
    </w:p>
    <w:p w14:paraId="2F3EE109">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F6E1275">
      <w:pPr>
        <w:pStyle w:val="5"/>
        <w:numPr>
          <w:ilvl w:val="2"/>
          <w:numId w:val="4"/>
        </w:numPr>
      </w:pPr>
      <w:bookmarkStart w:id="39" w:name="季节1"/>
      <w:r>
        <w:rPr>
          <w:rFonts w:hint="eastAsia"/>
        </w:rPr>
        <w:t>冬季</w:t>
      </w:r>
      <w:bookmarkEnd w:id="39"/>
      <w:r>
        <w:rPr>
          <w:rFonts w:hint="eastAsia"/>
        </w:rPr>
        <w:t>工况风场计算域</w:t>
      </w:r>
    </w:p>
    <w:p w14:paraId="367322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D02B33F">
        <w:tblPrEx>
          <w:tblCellMar>
            <w:top w:w="0" w:type="dxa"/>
            <w:left w:w="108" w:type="dxa"/>
            <w:bottom w:w="0" w:type="dxa"/>
            <w:right w:w="108" w:type="dxa"/>
          </w:tblCellMar>
        </w:tblPrEx>
        <w:trPr>
          <w:jc w:val="center"/>
        </w:trPr>
        <w:tc>
          <w:tcPr>
            <w:tcW w:w="2765" w:type="dxa"/>
          </w:tcPr>
          <w:p w14:paraId="3A9A1A83">
            <w:pPr>
              <w:jc w:val="center"/>
            </w:pPr>
            <w:r>
              <w:rPr>
                <w:rFonts w:hint="eastAsia"/>
              </w:rPr>
              <w:t>顺风方向尺寸（m）</w:t>
            </w:r>
          </w:p>
        </w:tc>
        <w:tc>
          <w:tcPr>
            <w:tcW w:w="2765" w:type="dxa"/>
          </w:tcPr>
          <w:p w14:paraId="1EF149EF">
            <w:pPr>
              <w:jc w:val="center"/>
            </w:pPr>
            <w:r>
              <w:rPr>
                <w:rFonts w:hint="eastAsia"/>
              </w:rPr>
              <w:t>宽度方向尺寸（m）</w:t>
            </w:r>
          </w:p>
        </w:tc>
        <w:tc>
          <w:tcPr>
            <w:tcW w:w="2766" w:type="dxa"/>
          </w:tcPr>
          <w:p w14:paraId="04E8774D">
            <w:pPr>
              <w:jc w:val="center"/>
            </w:pPr>
            <w:r>
              <w:rPr>
                <w:rFonts w:hint="eastAsia"/>
              </w:rPr>
              <w:t>高度方向尺寸（m）</w:t>
            </w:r>
          </w:p>
        </w:tc>
      </w:tr>
      <w:tr w14:paraId="53D7E65E">
        <w:tblPrEx>
          <w:tblCellMar>
            <w:top w:w="0" w:type="dxa"/>
            <w:left w:w="108" w:type="dxa"/>
            <w:bottom w:w="0" w:type="dxa"/>
            <w:right w:w="108" w:type="dxa"/>
          </w:tblCellMar>
        </w:tblPrEx>
        <w:trPr>
          <w:jc w:val="center"/>
        </w:trPr>
        <w:tc>
          <w:tcPr>
            <w:tcW w:w="2765" w:type="dxa"/>
          </w:tcPr>
          <w:p w14:paraId="4A8CB5C8">
            <w:pPr>
              <w:jc w:val="center"/>
            </w:pPr>
            <w:bookmarkStart w:id="41" w:name="冬季风场X尺寸"/>
            <w:r>
              <w:t>388</w:t>
            </w:r>
            <w:bookmarkEnd w:id="41"/>
          </w:p>
        </w:tc>
        <w:tc>
          <w:tcPr>
            <w:tcW w:w="2765" w:type="dxa"/>
          </w:tcPr>
          <w:p w14:paraId="5A792D42">
            <w:pPr>
              <w:jc w:val="center"/>
            </w:pPr>
            <w:bookmarkStart w:id="42" w:name="冬季风场Y尺寸"/>
            <w:r>
              <w:t>417</w:t>
            </w:r>
            <w:bookmarkEnd w:id="42"/>
          </w:p>
        </w:tc>
        <w:tc>
          <w:tcPr>
            <w:tcW w:w="2766" w:type="dxa"/>
          </w:tcPr>
          <w:p w14:paraId="3C0381AC">
            <w:pPr>
              <w:jc w:val="center"/>
            </w:pPr>
            <w:bookmarkStart w:id="43" w:name="冬季风场Z尺寸"/>
            <w:r>
              <w:t>115</w:t>
            </w:r>
            <w:bookmarkEnd w:id="43"/>
          </w:p>
        </w:tc>
      </w:tr>
    </w:tbl>
    <w:p w14:paraId="28BE4A50">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53AD3CC4">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198CCA6">
      <w:pPr>
        <w:pStyle w:val="5"/>
        <w:numPr>
          <w:ilvl w:val="2"/>
          <w:numId w:val="4"/>
        </w:numPr>
      </w:pPr>
      <w:r>
        <w:rPr>
          <w:rFonts w:hint="eastAsia"/>
        </w:rPr>
        <w:t>夏季工况风场计算域</w:t>
      </w:r>
    </w:p>
    <w:p w14:paraId="00CCFAB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4F0DD18">
        <w:tblPrEx>
          <w:tblCellMar>
            <w:top w:w="0" w:type="dxa"/>
            <w:left w:w="108" w:type="dxa"/>
            <w:bottom w:w="0" w:type="dxa"/>
            <w:right w:w="108" w:type="dxa"/>
          </w:tblCellMar>
        </w:tblPrEx>
        <w:trPr>
          <w:jc w:val="center"/>
        </w:trPr>
        <w:tc>
          <w:tcPr>
            <w:tcW w:w="2765" w:type="dxa"/>
          </w:tcPr>
          <w:p w14:paraId="2D39D786">
            <w:pPr>
              <w:jc w:val="center"/>
            </w:pPr>
            <w:r>
              <w:rPr>
                <w:rFonts w:hint="eastAsia"/>
              </w:rPr>
              <w:t>顺风方向尺寸（m）</w:t>
            </w:r>
          </w:p>
        </w:tc>
        <w:tc>
          <w:tcPr>
            <w:tcW w:w="2765" w:type="dxa"/>
          </w:tcPr>
          <w:p w14:paraId="35624025">
            <w:pPr>
              <w:jc w:val="center"/>
            </w:pPr>
            <w:r>
              <w:rPr>
                <w:rFonts w:hint="eastAsia"/>
              </w:rPr>
              <w:t>宽度方向尺寸（m）</w:t>
            </w:r>
          </w:p>
        </w:tc>
        <w:tc>
          <w:tcPr>
            <w:tcW w:w="2766" w:type="dxa"/>
          </w:tcPr>
          <w:p w14:paraId="27163D49">
            <w:pPr>
              <w:jc w:val="center"/>
            </w:pPr>
            <w:r>
              <w:rPr>
                <w:rFonts w:hint="eastAsia"/>
              </w:rPr>
              <w:t>高度方向尺寸（m）</w:t>
            </w:r>
          </w:p>
        </w:tc>
      </w:tr>
      <w:tr w14:paraId="3585C6FD">
        <w:tblPrEx>
          <w:tblCellMar>
            <w:top w:w="0" w:type="dxa"/>
            <w:left w:w="108" w:type="dxa"/>
            <w:bottom w:w="0" w:type="dxa"/>
            <w:right w:w="108" w:type="dxa"/>
          </w:tblCellMar>
        </w:tblPrEx>
        <w:trPr>
          <w:jc w:val="center"/>
        </w:trPr>
        <w:tc>
          <w:tcPr>
            <w:tcW w:w="2765" w:type="dxa"/>
          </w:tcPr>
          <w:p w14:paraId="0C0CCA43">
            <w:pPr>
              <w:jc w:val="center"/>
            </w:pPr>
            <w:r>
              <w:t>488</w:t>
            </w:r>
          </w:p>
        </w:tc>
        <w:tc>
          <w:tcPr>
            <w:tcW w:w="2765" w:type="dxa"/>
          </w:tcPr>
          <w:p w14:paraId="653C133B">
            <w:pPr>
              <w:jc w:val="center"/>
            </w:pPr>
            <w:r>
              <w:t>426</w:t>
            </w:r>
          </w:p>
        </w:tc>
        <w:tc>
          <w:tcPr>
            <w:tcW w:w="2766" w:type="dxa"/>
          </w:tcPr>
          <w:p w14:paraId="5286F38B">
            <w:pPr>
              <w:jc w:val="center"/>
            </w:pPr>
            <w:r>
              <w:t>115</w:t>
            </w:r>
          </w:p>
        </w:tc>
      </w:tr>
    </w:tbl>
    <w:p w14:paraId="065946BA">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09E1802D">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0989840A">
      <w:pPr>
        <w:pStyle w:val="5"/>
        <w:numPr>
          <w:ilvl w:val="2"/>
          <w:numId w:val="4"/>
        </w:numPr>
      </w:pPr>
      <w:r>
        <w:rPr>
          <w:rFonts w:hint="eastAsia"/>
        </w:rPr>
        <w:t>过渡季工况风场计算域</w:t>
      </w:r>
    </w:p>
    <w:p w14:paraId="668C44D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B44BEDF">
        <w:tblPrEx>
          <w:tblCellMar>
            <w:top w:w="0" w:type="dxa"/>
            <w:left w:w="108" w:type="dxa"/>
            <w:bottom w:w="0" w:type="dxa"/>
            <w:right w:w="108" w:type="dxa"/>
          </w:tblCellMar>
        </w:tblPrEx>
        <w:trPr>
          <w:jc w:val="center"/>
        </w:trPr>
        <w:tc>
          <w:tcPr>
            <w:tcW w:w="2765" w:type="dxa"/>
          </w:tcPr>
          <w:p w14:paraId="16A9F117">
            <w:pPr>
              <w:jc w:val="center"/>
            </w:pPr>
            <w:r>
              <w:rPr>
                <w:rFonts w:hint="eastAsia"/>
              </w:rPr>
              <w:t>顺风方向尺寸（m）</w:t>
            </w:r>
          </w:p>
        </w:tc>
        <w:tc>
          <w:tcPr>
            <w:tcW w:w="2765" w:type="dxa"/>
          </w:tcPr>
          <w:p w14:paraId="57CEDA48">
            <w:pPr>
              <w:jc w:val="center"/>
            </w:pPr>
            <w:r>
              <w:rPr>
                <w:rFonts w:hint="eastAsia"/>
              </w:rPr>
              <w:t>宽度方向尺寸（m）</w:t>
            </w:r>
          </w:p>
        </w:tc>
        <w:tc>
          <w:tcPr>
            <w:tcW w:w="2766" w:type="dxa"/>
          </w:tcPr>
          <w:p w14:paraId="0254416F">
            <w:pPr>
              <w:jc w:val="center"/>
            </w:pPr>
            <w:r>
              <w:rPr>
                <w:rFonts w:hint="eastAsia"/>
              </w:rPr>
              <w:t>高度方向尺寸（m）</w:t>
            </w:r>
          </w:p>
        </w:tc>
      </w:tr>
      <w:tr w14:paraId="73D6D86D">
        <w:tblPrEx>
          <w:tblCellMar>
            <w:top w:w="0" w:type="dxa"/>
            <w:left w:w="108" w:type="dxa"/>
            <w:bottom w:w="0" w:type="dxa"/>
            <w:right w:w="108" w:type="dxa"/>
          </w:tblCellMar>
        </w:tblPrEx>
        <w:trPr>
          <w:jc w:val="center"/>
        </w:trPr>
        <w:tc>
          <w:tcPr>
            <w:tcW w:w="2765" w:type="dxa"/>
          </w:tcPr>
          <w:p w14:paraId="0079439C">
            <w:pPr>
              <w:jc w:val="center"/>
            </w:pPr>
            <w:r>
              <w:t>428</w:t>
            </w:r>
          </w:p>
        </w:tc>
        <w:tc>
          <w:tcPr>
            <w:tcW w:w="2765" w:type="dxa"/>
          </w:tcPr>
          <w:p w14:paraId="71B54BB3">
            <w:pPr>
              <w:jc w:val="center"/>
            </w:pPr>
            <w:r>
              <w:t>438</w:t>
            </w:r>
          </w:p>
        </w:tc>
        <w:tc>
          <w:tcPr>
            <w:tcW w:w="2766" w:type="dxa"/>
          </w:tcPr>
          <w:p w14:paraId="27AF38A6">
            <w:pPr>
              <w:jc w:val="center"/>
            </w:pPr>
            <w:r>
              <w:t>115</w:t>
            </w:r>
          </w:p>
        </w:tc>
      </w:tr>
    </w:tbl>
    <w:p w14:paraId="503A99B1">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62189FB8">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B45CF21">
      <w:pPr>
        <w:pStyle w:val="3"/>
        <w:ind w:firstLine="315" w:firstLineChars="150"/>
        <w:rPr>
          <w:rFonts w:hint="eastAsia" w:ascii="微软雅黑" w:hAnsi="微软雅黑" w:eastAsia="微软雅黑"/>
          <w:lang w:val="en-US"/>
        </w:rPr>
      </w:pPr>
      <w:bookmarkStart w:id="46" w:name="计算域"/>
      <w:bookmarkEnd w:id="46"/>
    </w:p>
    <w:p w14:paraId="0B4B0B0B">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607F731A">
      <w:pPr>
        <w:pStyle w:val="4"/>
        <w:rPr>
          <w:rFonts w:hint="eastAsia"/>
        </w:rPr>
      </w:pPr>
      <w:bookmarkStart w:id="47" w:name="_Toc509844741"/>
      <w:bookmarkStart w:id="48" w:name="_Toc3710"/>
      <w:r>
        <w:rPr>
          <w:rFonts w:hint="eastAsia"/>
        </w:rPr>
        <w:t>网格划分</w:t>
      </w:r>
      <w:bookmarkEnd w:id="47"/>
      <w:bookmarkEnd w:id="48"/>
    </w:p>
    <w:p w14:paraId="6333674D">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5FC9355A">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0AB7C101">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33221571">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10AE5AD9">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30B5A887">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4B922F52">
      <w:pPr>
        <w:pStyle w:val="12"/>
        <w:spacing w:before="156"/>
        <w:ind w:left="0" w:firstLine="315" w:firstLineChars="150"/>
        <w:rPr>
          <w:rFonts w:hint="eastAsia" w:ascii="微软雅黑"/>
        </w:rPr>
      </w:pPr>
      <w:r>
        <w:rPr>
          <w:rFonts w:hint="eastAsia" w:ascii="微软雅黑"/>
        </w:rPr>
        <w:t>2）地面网格</w:t>
      </w:r>
    </w:p>
    <w:p w14:paraId="3085E376">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2530B813">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232E5444">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12DB37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68B364C">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0C1E2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273143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E21AA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0302122">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2646617">
            <w:pPr>
              <w:spacing w:line="400" w:lineRule="exact"/>
              <w:jc w:val="center"/>
              <w:rPr>
                <w:rFonts w:ascii="微软雅黑" w:hAnsi="微软雅黑" w:eastAsia="微软雅黑"/>
                <w:sz w:val="18"/>
                <w:szCs w:val="18"/>
                <w:lang w:val="en-US"/>
              </w:rPr>
            </w:pPr>
            <w:bookmarkStart w:id="49" w:name="冬季网格总数"/>
            <w:r>
              <w:t>240700</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AD10B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DAF0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27467A2">
            <w:pPr>
              <w:spacing w:line="400" w:lineRule="exact"/>
              <w:jc w:val="center"/>
              <w:rPr>
                <w:rFonts w:ascii="微软雅黑" w:hAnsi="微软雅黑" w:eastAsia="微软雅黑"/>
                <w:sz w:val="18"/>
                <w:szCs w:val="18"/>
                <w:lang w:val="en-US"/>
              </w:rPr>
            </w:pPr>
            <w:bookmarkStart w:id="50" w:name="冬季分弧精度"/>
            <w:r>
              <w:t>0.24</w:t>
            </w:r>
            <w:bookmarkEnd w:id="50"/>
          </w:p>
        </w:tc>
      </w:tr>
      <w:tr w14:paraId="27D7676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08F3E8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6E504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812A0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76D85D">
            <w:pPr>
              <w:spacing w:line="400" w:lineRule="exact"/>
              <w:jc w:val="center"/>
              <w:rPr>
                <w:rFonts w:ascii="微软雅黑" w:hAnsi="微软雅黑" w:eastAsia="微软雅黑"/>
                <w:sz w:val="18"/>
                <w:szCs w:val="18"/>
                <w:lang w:val="en-US"/>
              </w:rPr>
            </w:pPr>
            <w:bookmarkStart w:id="51" w:name="最大网格尺寸"/>
            <w:r>
              <w:t>16.0</w:t>
            </w:r>
            <w:bookmarkEnd w:id="51"/>
          </w:p>
        </w:tc>
      </w:tr>
      <w:tr w14:paraId="3A7A491F">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1D2A4B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69ABD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B6AAD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0CFECE0">
            <w:pPr>
              <w:spacing w:line="400" w:lineRule="exact"/>
              <w:jc w:val="center"/>
              <w:rPr>
                <w:rFonts w:ascii="微软雅黑" w:hAnsi="微软雅黑" w:eastAsia="微软雅黑"/>
                <w:sz w:val="18"/>
                <w:szCs w:val="18"/>
                <w:lang w:val="en-US"/>
              </w:rPr>
            </w:pPr>
            <w:bookmarkStart w:id="52" w:name="最小网格尺寸"/>
            <w:r>
              <w:t>4.0</w:t>
            </w:r>
            <w:bookmarkEnd w:id="52"/>
          </w:p>
        </w:tc>
      </w:tr>
      <w:tr w14:paraId="7CDE21B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2847CC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B1A27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889B0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E170455">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05029DD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805EEA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D02D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4D264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4B879F5">
            <w:pPr>
              <w:spacing w:line="400" w:lineRule="exact"/>
              <w:jc w:val="center"/>
              <w:rPr>
                <w:rFonts w:ascii="微软雅黑" w:hAnsi="微软雅黑" w:eastAsia="微软雅黑"/>
                <w:sz w:val="18"/>
                <w:szCs w:val="18"/>
                <w:lang w:val="en-US"/>
              </w:rPr>
            </w:pPr>
            <w:bookmarkStart w:id="54" w:name="远场网格尺寸"/>
            <w:r>
              <w:t>8.0</w:t>
            </w:r>
            <w:bookmarkEnd w:id="54"/>
          </w:p>
        </w:tc>
      </w:tr>
      <w:tr w14:paraId="371BE40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725FE6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F70DB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4EB0A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AC684C9">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70BE3EEE">
      <w:pPr>
        <w:rPr>
          <w:rFonts w:ascii="微软雅黑" w:hAnsi="微软雅黑" w:eastAsia="微软雅黑"/>
          <w:sz w:val="18"/>
          <w:szCs w:val="18"/>
          <w:lang w:val="en-US"/>
        </w:rPr>
      </w:pPr>
    </w:p>
    <w:p w14:paraId="7290D402">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788F921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3E38EE2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BC954D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C035E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5850F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FC7B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AB5666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21ECB62">
            <w:pPr>
              <w:spacing w:line="400" w:lineRule="exact"/>
              <w:jc w:val="center"/>
              <w:rPr>
                <w:rFonts w:ascii="微软雅黑" w:hAnsi="微软雅黑" w:eastAsia="微软雅黑"/>
                <w:sz w:val="18"/>
                <w:szCs w:val="18"/>
                <w:lang w:val="en-US"/>
              </w:rPr>
            </w:pPr>
            <w:r>
              <w:t>321663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88AE2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46985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67E2D7A">
            <w:pPr>
              <w:spacing w:line="400" w:lineRule="exact"/>
              <w:jc w:val="center"/>
              <w:rPr>
                <w:rFonts w:ascii="微软雅黑" w:hAnsi="微软雅黑" w:eastAsia="微软雅黑"/>
                <w:sz w:val="18"/>
                <w:szCs w:val="18"/>
                <w:lang w:val="en-US"/>
              </w:rPr>
            </w:pPr>
            <w:r>
              <w:t>0.24</w:t>
            </w:r>
          </w:p>
        </w:tc>
      </w:tr>
      <w:tr w14:paraId="6F64612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0CA9FE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9C2A1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C833F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8569A9C">
            <w:pPr>
              <w:spacing w:line="400" w:lineRule="exact"/>
              <w:jc w:val="center"/>
              <w:rPr>
                <w:rFonts w:ascii="微软雅黑" w:hAnsi="微软雅黑" w:eastAsia="微软雅黑"/>
                <w:sz w:val="18"/>
                <w:szCs w:val="18"/>
                <w:lang w:val="en-US"/>
              </w:rPr>
            </w:pPr>
            <w:r>
              <w:t>16.0</w:t>
            </w:r>
          </w:p>
        </w:tc>
      </w:tr>
      <w:tr w14:paraId="161DF6A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8B0A8C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F60DB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A9360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4230940">
            <w:pPr>
              <w:spacing w:line="400" w:lineRule="exact"/>
              <w:jc w:val="center"/>
              <w:rPr>
                <w:rFonts w:ascii="微软雅黑" w:hAnsi="微软雅黑" w:eastAsia="微软雅黑"/>
                <w:sz w:val="18"/>
                <w:szCs w:val="18"/>
                <w:lang w:val="en-US"/>
              </w:rPr>
            </w:pPr>
            <w:r>
              <w:t>4.0</w:t>
            </w:r>
          </w:p>
        </w:tc>
      </w:tr>
      <w:tr w14:paraId="6B397EE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AFB00E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60C5E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372CD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C2622E8">
            <w:pPr>
              <w:spacing w:line="400" w:lineRule="exact"/>
              <w:jc w:val="center"/>
              <w:rPr>
                <w:rFonts w:ascii="微软雅黑" w:hAnsi="微软雅黑" w:eastAsia="微软雅黑"/>
                <w:sz w:val="18"/>
                <w:szCs w:val="18"/>
                <w:lang w:val="en-US"/>
              </w:rPr>
            </w:pPr>
            <w:r>
              <w:t>4.0</w:t>
            </w:r>
          </w:p>
        </w:tc>
      </w:tr>
      <w:tr w14:paraId="5686F29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C1444A0">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294B02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D5E1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0EE07E">
            <w:pPr>
              <w:spacing w:line="400" w:lineRule="exact"/>
              <w:jc w:val="center"/>
              <w:rPr>
                <w:rFonts w:ascii="微软雅黑" w:hAnsi="微软雅黑" w:eastAsia="微软雅黑"/>
                <w:sz w:val="18"/>
                <w:szCs w:val="18"/>
                <w:lang w:val="en-US"/>
              </w:rPr>
            </w:pPr>
            <w:r>
              <w:t>8.0</w:t>
            </w:r>
          </w:p>
        </w:tc>
      </w:tr>
      <w:tr w14:paraId="7C83D10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8B9E06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CCE48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EDF97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70CBBD5">
            <w:pPr>
              <w:spacing w:line="400" w:lineRule="exact"/>
              <w:jc w:val="center"/>
              <w:rPr>
                <w:rFonts w:ascii="微软雅黑" w:hAnsi="微软雅黑" w:eastAsia="微软雅黑"/>
                <w:sz w:val="18"/>
                <w:szCs w:val="18"/>
                <w:lang w:val="en-US"/>
              </w:rPr>
            </w:pPr>
            <w:r>
              <w:t>4.0</w:t>
            </w:r>
          </w:p>
        </w:tc>
      </w:tr>
    </w:tbl>
    <w:p w14:paraId="6D04D7C1">
      <w:pPr>
        <w:rPr>
          <w:rFonts w:ascii="微软雅黑" w:hAnsi="微软雅黑" w:eastAsia="微软雅黑"/>
          <w:sz w:val="18"/>
          <w:szCs w:val="18"/>
          <w:lang w:val="en-US"/>
        </w:rPr>
      </w:pPr>
    </w:p>
    <w:p w14:paraId="51E38204">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1866A6E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7123FAF">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7EE1680">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2BF4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75270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C9FB9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2A4EAAC">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0415B5BC">
            <w:pPr>
              <w:spacing w:line="400" w:lineRule="exact"/>
              <w:jc w:val="center"/>
              <w:rPr>
                <w:rFonts w:ascii="微软雅黑" w:hAnsi="微软雅黑" w:eastAsia="微软雅黑"/>
                <w:sz w:val="18"/>
                <w:szCs w:val="18"/>
                <w:lang w:val="en-US"/>
              </w:rPr>
            </w:pPr>
            <w:r>
              <w:t>286392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273C7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9E423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04D8A24">
            <w:pPr>
              <w:spacing w:line="400" w:lineRule="exact"/>
              <w:jc w:val="center"/>
              <w:rPr>
                <w:rFonts w:ascii="微软雅黑" w:hAnsi="微软雅黑" w:eastAsia="微软雅黑"/>
                <w:sz w:val="18"/>
                <w:szCs w:val="18"/>
                <w:lang w:val="en-US"/>
              </w:rPr>
            </w:pPr>
            <w:r>
              <w:t>0.24</w:t>
            </w:r>
          </w:p>
        </w:tc>
      </w:tr>
      <w:tr w14:paraId="364FDE1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C790AB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6EFC26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8D28C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0470C15">
            <w:pPr>
              <w:spacing w:line="400" w:lineRule="exact"/>
              <w:jc w:val="center"/>
              <w:rPr>
                <w:rFonts w:ascii="微软雅黑" w:hAnsi="微软雅黑" w:eastAsia="微软雅黑"/>
                <w:sz w:val="18"/>
                <w:szCs w:val="18"/>
                <w:lang w:val="en-US"/>
              </w:rPr>
            </w:pPr>
            <w:r>
              <w:t>16.0</w:t>
            </w:r>
          </w:p>
        </w:tc>
      </w:tr>
      <w:tr w14:paraId="44B84FD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64CB0C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AD078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54B41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7784B92">
            <w:pPr>
              <w:spacing w:line="400" w:lineRule="exact"/>
              <w:jc w:val="center"/>
              <w:rPr>
                <w:rFonts w:ascii="微软雅黑" w:hAnsi="微软雅黑" w:eastAsia="微软雅黑"/>
                <w:sz w:val="18"/>
                <w:szCs w:val="18"/>
                <w:lang w:val="en-US"/>
              </w:rPr>
            </w:pPr>
            <w:r>
              <w:t>4.0</w:t>
            </w:r>
          </w:p>
        </w:tc>
      </w:tr>
      <w:tr w14:paraId="0D8B9CA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1300ED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72852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FC900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4E28BA">
            <w:pPr>
              <w:spacing w:line="400" w:lineRule="exact"/>
              <w:jc w:val="center"/>
              <w:rPr>
                <w:rFonts w:ascii="微软雅黑" w:hAnsi="微软雅黑" w:eastAsia="微软雅黑"/>
                <w:sz w:val="18"/>
                <w:szCs w:val="18"/>
                <w:lang w:val="en-US"/>
              </w:rPr>
            </w:pPr>
            <w:r>
              <w:t>4.0</w:t>
            </w:r>
          </w:p>
        </w:tc>
      </w:tr>
      <w:tr w14:paraId="2B74E35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1DD7462">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0242C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115C0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243E641">
            <w:pPr>
              <w:spacing w:line="400" w:lineRule="exact"/>
              <w:jc w:val="center"/>
              <w:rPr>
                <w:rFonts w:ascii="微软雅黑" w:hAnsi="微软雅黑" w:eastAsia="微软雅黑"/>
                <w:sz w:val="18"/>
                <w:szCs w:val="18"/>
                <w:lang w:val="en-US"/>
              </w:rPr>
            </w:pPr>
            <w:r>
              <w:t>8.0</w:t>
            </w:r>
            <w:bookmarkEnd w:id="9"/>
          </w:p>
        </w:tc>
      </w:tr>
      <w:tr w14:paraId="524E1A0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15DC11D">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448F4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A14A2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A1ED3A">
            <w:pPr>
              <w:spacing w:line="400" w:lineRule="exact"/>
              <w:jc w:val="center"/>
              <w:rPr>
                <w:rFonts w:ascii="微软雅黑" w:hAnsi="微软雅黑" w:eastAsia="微软雅黑"/>
                <w:sz w:val="18"/>
                <w:szCs w:val="18"/>
                <w:lang w:val="en-US"/>
              </w:rPr>
            </w:pPr>
            <w:r>
              <w:t>4.0</w:t>
            </w:r>
          </w:p>
        </w:tc>
      </w:tr>
    </w:tbl>
    <w:p w14:paraId="5575E7C4">
      <w:pPr>
        <w:rPr>
          <w:rFonts w:ascii="微软雅黑" w:hAnsi="微软雅黑" w:eastAsia="微软雅黑"/>
          <w:sz w:val="18"/>
          <w:szCs w:val="18"/>
          <w:lang w:val="en-US"/>
        </w:rPr>
      </w:pPr>
    </w:p>
    <w:p w14:paraId="2A694AC4">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7018093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A73748F">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1E048CDF">
      <w:pPr>
        <w:pStyle w:val="3"/>
        <w:ind w:firstLine="0" w:firstLineChars="0"/>
        <w:rPr>
          <w:rFonts w:hint="eastAsia" w:ascii="微软雅黑" w:hAnsi="微软雅黑" w:eastAsia="微软雅黑"/>
          <w:szCs w:val="20"/>
          <w:lang w:val="en-US"/>
        </w:rPr>
      </w:pPr>
    </w:p>
    <w:p w14:paraId="38959D24">
      <w:pPr>
        <w:pStyle w:val="4"/>
        <w:numPr>
          <w:ilvl w:val="1"/>
          <w:numId w:val="3"/>
        </w:numPr>
        <w:rPr>
          <w:rFonts w:hint="eastAsia"/>
        </w:rPr>
      </w:pPr>
      <w:bookmarkStart w:id="59" w:name="_Toc509844742"/>
      <w:bookmarkStart w:id="60" w:name="_Toc14037"/>
      <w:r>
        <w:rPr>
          <w:rFonts w:hint="eastAsia"/>
        </w:rPr>
        <w:t>边界条件</w:t>
      </w:r>
      <w:bookmarkEnd w:id="59"/>
      <w:bookmarkEnd w:id="60"/>
    </w:p>
    <w:p w14:paraId="70EB2A51">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E3625C9">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7EB2203">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2A71994">
      <w:pPr>
        <w:pStyle w:val="5"/>
        <w:rPr>
          <w:rFonts w:hint="eastAsia"/>
        </w:rPr>
      </w:pPr>
      <w:bookmarkStart w:id="61" w:name="_Toc509844743"/>
      <w:r>
        <w:rPr>
          <w:rFonts w:hint="eastAsia"/>
        </w:rPr>
        <w:t>入口与出口边界条件</w:t>
      </w:r>
      <w:bookmarkEnd w:id="61"/>
    </w:p>
    <w:p w14:paraId="631F5050">
      <w:pPr>
        <w:rPr>
          <w:rFonts w:hint="eastAsia"/>
        </w:rPr>
      </w:pPr>
      <w:r>
        <w:rPr>
          <w:rFonts w:hint="eastAsia"/>
        </w:rPr>
        <w:t>1）入口风速梯度</w:t>
      </w:r>
    </w:p>
    <w:p w14:paraId="5D66193A">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75186CA">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3851880D">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2901427E">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31A9193">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9A395E6">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2E4970FB">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7F2A1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655A8FB9">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2E4E71C3">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7B699B59">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7008B08D">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2A64C08B">
            <w:pPr>
              <w:jc w:val="center"/>
              <w:rPr>
                <w:rFonts w:hint="eastAsia" w:cs="宋体"/>
                <w:b/>
                <w:bCs/>
                <w:sz w:val="18"/>
                <w:szCs w:val="18"/>
              </w:rPr>
            </w:pPr>
            <w:r>
              <w:rPr>
                <w:rFonts w:hint="eastAsia" w:cs="宋体"/>
                <w:b/>
                <w:bCs/>
                <w:sz w:val="18"/>
                <w:szCs w:val="18"/>
              </w:rPr>
              <w:t>梯度风高度(m）</w:t>
            </w:r>
          </w:p>
        </w:tc>
      </w:tr>
      <w:tr w14:paraId="277E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0B8F3A37">
            <w:pPr>
              <w:jc w:val="center"/>
              <w:rPr>
                <w:rFonts w:hint="eastAsia" w:cs="宋体"/>
                <w:b/>
                <w:sz w:val="18"/>
                <w:szCs w:val="18"/>
              </w:rPr>
            </w:pPr>
            <w:r>
              <w:rPr>
                <w:rFonts w:hint="eastAsia"/>
                <w:sz w:val="18"/>
                <w:szCs w:val="18"/>
              </w:rPr>
              <w:t>《绿色建筑评价技术细则》</w:t>
            </w:r>
          </w:p>
        </w:tc>
        <w:tc>
          <w:tcPr>
            <w:tcW w:w="1134" w:type="dxa"/>
            <w:vAlign w:val="center"/>
          </w:tcPr>
          <w:p w14:paraId="3B4C55F4">
            <w:pPr>
              <w:jc w:val="center"/>
              <w:rPr>
                <w:rFonts w:hint="eastAsia" w:cs="宋体"/>
                <w:sz w:val="18"/>
                <w:szCs w:val="18"/>
              </w:rPr>
            </w:pPr>
            <w:r>
              <w:rPr>
                <w:rFonts w:hint="eastAsia" w:cs="宋体"/>
                <w:sz w:val="18"/>
                <w:szCs w:val="18"/>
              </w:rPr>
              <w:t>A</w:t>
            </w:r>
          </w:p>
        </w:tc>
        <w:tc>
          <w:tcPr>
            <w:tcW w:w="3685" w:type="dxa"/>
          </w:tcPr>
          <w:p w14:paraId="36D72187">
            <w:pPr>
              <w:spacing w:line="360" w:lineRule="exact"/>
              <w:rPr>
                <w:rFonts w:hint="eastAsia"/>
              </w:rPr>
            </w:pPr>
            <w:r>
              <w:rPr>
                <w:rFonts w:hint="eastAsia"/>
              </w:rPr>
              <w:t>近海地区、湖岸，沙漠地区</w:t>
            </w:r>
          </w:p>
        </w:tc>
        <w:tc>
          <w:tcPr>
            <w:tcW w:w="684" w:type="dxa"/>
            <w:vAlign w:val="center"/>
          </w:tcPr>
          <w:p w14:paraId="711181DA">
            <w:pPr>
              <w:spacing w:line="360" w:lineRule="exact"/>
              <w:jc w:val="center"/>
              <w:rPr>
                <w:rFonts w:hint="eastAsia"/>
              </w:rPr>
            </w:pPr>
            <w:r>
              <w:rPr>
                <w:rFonts w:hint="eastAsia"/>
              </w:rPr>
              <w:t>0.12</w:t>
            </w:r>
          </w:p>
        </w:tc>
        <w:tc>
          <w:tcPr>
            <w:tcW w:w="1551" w:type="dxa"/>
            <w:vAlign w:val="center"/>
          </w:tcPr>
          <w:p w14:paraId="36542DAD">
            <w:pPr>
              <w:spacing w:line="360" w:lineRule="exact"/>
              <w:jc w:val="center"/>
              <w:rPr>
                <w:rFonts w:hint="eastAsia"/>
              </w:rPr>
            </w:pPr>
            <w:r>
              <w:rPr>
                <w:rFonts w:hint="eastAsia"/>
              </w:rPr>
              <w:t>300</w:t>
            </w:r>
          </w:p>
        </w:tc>
      </w:tr>
      <w:tr w14:paraId="5F9B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52FBF260">
            <w:pPr>
              <w:jc w:val="center"/>
              <w:rPr>
                <w:rFonts w:hint="eastAsia" w:cs="宋体"/>
                <w:b/>
                <w:sz w:val="18"/>
                <w:szCs w:val="18"/>
              </w:rPr>
            </w:pPr>
          </w:p>
        </w:tc>
        <w:tc>
          <w:tcPr>
            <w:tcW w:w="1134" w:type="dxa"/>
            <w:vAlign w:val="center"/>
          </w:tcPr>
          <w:p w14:paraId="27829653">
            <w:pPr>
              <w:jc w:val="center"/>
              <w:rPr>
                <w:rFonts w:hint="eastAsia" w:cs="宋体"/>
                <w:sz w:val="18"/>
                <w:szCs w:val="18"/>
              </w:rPr>
            </w:pPr>
            <w:r>
              <w:rPr>
                <w:rFonts w:hint="eastAsia" w:cs="宋体"/>
                <w:sz w:val="18"/>
                <w:szCs w:val="18"/>
              </w:rPr>
              <w:t>B</w:t>
            </w:r>
          </w:p>
        </w:tc>
        <w:tc>
          <w:tcPr>
            <w:tcW w:w="3685" w:type="dxa"/>
          </w:tcPr>
          <w:p w14:paraId="2ED5E885">
            <w:pPr>
              <w:spacing w:line="360" w:lineRule="exact"/>
              <w:rPr>
                <w:rFonts w:hint="eastAsia"/>
              </w:rPr>
            </w:pPr>
            <w:r>
              <w:rPr>
                <w:rFonts w:hint="eastAsia"/>
              </w:rPr>
              <w:t>田野、丘陵及中小城市、大城市郊区</w:t>
            </w:r>
          </w:p>
        </w:tc>
        <w:tc>
          <w:tcPr>
            <w:tcW w:w="684" w:type="dxa"/>
            <w:vAlign w:val="center"/>
          </w:tcPr>
          <w:p w14:paraId="634FB762">
            <w:pPr>
              <w:spacing w:line="360" w:lineRule="exact"/>
              <w:jc w:val="center"/>
              <w:rPr>
                <w:rFonts w:hint="eastAsia"/>
              </w:rPr>
            </w:pPr>
            <w:r>
              <w:rPr>
                <w:rFonts w:hint="eastAsia"/>
              </w:rPr>
              <w:t>0.16</w:t>
            </w:r>
          </w:p>
        </w:tc>
        <w:tc>
          <w:tcPr>
            <w:tcW w:w="1551" w:type="dxa"/>
            <w:vAlign w:val="center"/>
          </w:tcPr>
          <w:p w14:paraId="6B397644">
            <w:pPr>
              <w:spacing w:line="360" w:lineRule="exact"/>
              <w:jc w:val="center"/>
              <w:rPr>
                <w:rFonts w:hint="eastAsia"/>
              </w:rPr>
            </w:pPr>
            <w:r>
              <w:rPr>
                <w:rFonts w:hint="eastAsia"/>
              </w:rPr>
              <w:t>350</w:t>
            </w:r>
          </w:p>
        </w:tc>
      </w:tr>
      <w:tr w14:paraId="7174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0451CC0">
            <w:pPr>
              <w:jc w:val="center"/>
              <w:rPr>
                <w:rFonts w:hint="eastAsia" w:cs="宋体"/>
                <w:b/>
                <w:sz w:val="18"/>
                <w:szCs w:val="18"/>
              </w:rPr>
            </w:pPr>
          </w:p>
        </w:tc>
        <w:tc>
          <w:tcPr>
            <w:tcW w:w="1134" w:type="dxa"/>
            <w:vAlign w:val="center"/>
          </w:tcPr>
          <w:p w14:paraId="782E0164">
            <w:pPr>
              <w:jc w:val="center"/>
              <w:rPr>
                <w:rFonts w:hint="eastAsia" w:cs="宋体"/>
                <w:sz w:val="18"/>
                <w:szCs w:val="18"/>
              </w:rPr>
            </w:pPr>
            <w:r>
              <w:rPr>
                <w:rFonts w:hint="eastAsia" w:cs="宋体"/>
                <w:sz w:val="18"/>
                <w:szCs w:val="18"/>
              </w:rPr>
              <w:t>C</w:t>
            </w:r>
          </w:p>
        </w:tc>
        <w:tc>
          <w:tcPr>
            <w:tcW w:w="3685" w:type="dxa"/>
          </w:tcPr>
          <w:p w14:paraId="7443E498">
            <w:pPr>
              <w:spacing w:line="360" w:lineRule="exact"/>
              <w:rPr>
                <w:rFonts w:hint="eastAsia"/>
              </w:rPr>
            </w:pPr>
            <w:r>
              <w:rPr>
                <w:rFonts w:hint="eastAsia"/>
              </w:rPr>
              <w:t>有密集建筑的大城市市区</w:t>
            </w:r>
          </w:p>
        </w:tc>
        <w:tc>
          <w:tcPr>
            <w:tcW w:w="684" w:type="dxa"/>
            <w:vAlign w:val="center"/>
          </w:tcPr>
          <w:p w14:paraId="55879F0B">
            <w:pPr>
              <w:spacing w:line="360" w:lineRule="exact"/>
              <w:jc w:val="center"/>
              <w:rPr>
                <w:rFonts w:hint="eastAsia"/>
              </w:rPr>
            </w:pPr>
            <w:r>
              <w:rPr>
                <w:rFonts w:hint="eastAsia"/>
              </w:rPr>
              <w:t>0.22</w:t>
            </w:r>
          </w:p>
        </w:tc>
        <w:tc>
          <w:tcPr>
            <w:tcW w:w="1551" w:type="dxa"/>
            <w:vAlign w:val="center"/>
          </w:tcPr>
          <w:p w14:paraId="71FD69F8">
            <w:pPr>
              <w:spacing w:line="360" w:lineRule="exact"/>
              <w:jc w:val="center"/>
              <w:rPr>
                <w:rFonts w:hint="eastAsia"/>
              </w:rPr>
            </w:pPr>
            <w:r>
              <w:rPr>
                <w:rFonts w:hint="eastAsia"/>
              </w:rPr>
              <w:t>400</w:t>
            </w:r>
          </w:p>
        </w:tc>
      </w:tr>
      <w:tr w14:paraId="6B14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34F0FC2">
            <w:pPr>
              <w:jc w:val="center"/>
              <w:rPr>
                <w:rFonts w:hint="eastAsia" w:cs="宋体"/>
                <w:b/>
                <w:sz w:val="18"/>
                <w:szCs w:val="18"/>
              </w:rPr>
            </w:pPr>
          </w:p>
        </w:tc>
        <w:tc>
          <w:tcPr>
            <w:tcW w:w="1134" w:type="dxa"/>
            <w:vAlign w:val="center"/>
          </w:tcPr>
          <w:p w14:paraId="6384F511">
            <w:pPr>
              <w:jc w:val="center"/>
              <w:rPr>
                <w:rFonts w:hint="eastAsia" w:cs="宋体"/>
                <w:sz w:val="18"/>
                <w:szCs w:val="18"/>
              </w:rPr>
            </w:pPr>
            <w:r>
              <w:rPr>
                <w:rFonts w:hint="eastAsia" w:cs="宋体"/>
                <w:sz w:val="18"/>
                <w:szCs w:val="18"/>
              </w:rPr>
              <w:t>D</w:t>
            </w:r>
          </w:p>
        </w:tc>
        <w:tc>
          <w:tcPr>
            <w:tcW w:w="3685" w:type="dxa"/>
          </w:tcPr>
          <w:p w14:paraId="0E13C364">
            <w:pPr>
              <w:spacing w:line="360" w:lineRule="exact"/>
            </w:pPr>
            <w:r>
              <w:rPr>
                <w:rFonts w:hint="eastAsia"/>
              </w:rPr>
              <w:t>有密集建筑群且房屋较高的城市市区</w:t>
            </w:r>
          </w:p>
        </w:tc>
        <w:tc>
          <w:tcPr>
            <w:tcW w:w="684" w:type="dxa"/>
            <w:vAlign w:val="center"/>
          </w:tcPr>
          <w:p w14:paraId="52F49A2A">
            <w:pPr>
              <w:spacing w:line="360" w:lineRule="exact"/>
              <w:jc w:val="center"/>
              <w:rPr>
                <w:rFonts w:hint="eastAsia"/>
              </w:rPr>
            </w:pPr>
            <w:r>
              <w:rPr>
                <w:rFonts w:hint="eastAsia"/>
              </w:rPr>
              <w:t>0.30</w:t>
            </w:r>
          </w:p>
        </w:tc>
        <w:tc>
          <w:tcPr>
            <w:tcW w:w="1551" w:type="dxa"/>
            <w:vAlign w:val="center"/>
          </w:tcPr>
          <w:p w14:paraId="34E93AEE">
            <w:pPr>
              <w:spacing w:line="360" w:lineRule="exact"/>
              <w:jc w:val="center"/>
            </w:pPr>
            <w:r>
              <w:rPr>
                <w:rFonts w:hint="eastAsia"/>
              </w:rPr>
              <w:t>450</w:t>
            </w:r>
          </w:p>
        </w:tc>
      </w:tr>
    </w:tbl>
    <w:p w14:paraId="15027E7F">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6E697CCA">
      <w:pPr>
        <w:spacing w:before="156" w:beforeLines="50"/>
        <w:rPr>
          <w:rFonts w:hint="eastAsia"/>
        </w:rPr>
      </w:pPr>
      <w:r>
        <w:t>2）出口边界</w:t>
      </w:r>
      <w:r>
        <w:rPr>
          <w:rFonts w:hint="eastAsia"/>
        </w:rPr>
        <w:t>条件</w:t>
      </w:r>
    </w:p>
    <w:p w14:paraId="4F9D1C2A">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3F0AF897">
      <w:pPr>
        <w:pStyle w:val="5"/>
        <w:rPr>
          <w:rFonts w:hint="eastAsia"/>
        </w:rPr>
      </w:pPr>
      <w:bookmarkStart w:id="63" w:name="_Toc509844744"/>
      <w:r>
        <w:rPr>
          <w:rFonts w:hint="eastAsia"/>
        </w:rPr>
        <w:t>壁面边界条件</w:t>
      </w:r>
      <w:bookmarkEnd w:id="63"/>
    </w:p>
    <w:p w14:paraId="70213BFA">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201942C0">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7F0CE50">
      <w:pPr>
        <w:pStyle w:val="4"/>
        <w:numPr>
          <w:ilvl w:val="1"/>
          <w:numId w:val="3"/>
        </w:numPr>
        <w:rPr>
          <w:rFonts w:hint="eastAsia"/>
        </w:rPr>
      </w:pPr>
      <w:bookmarkStart w:id="64" w:name="_Toc18296"/>
      <w:r>
        <w:rPr>
          <w:rFonts w:hint="eastAsia"/>
        </w:rPr>
        <w:t>湍流模型</w:t>
      </w:r>
      <w:bookmarkEnd w:id="37"/>
      <w:bookmarkEnd w:id="38"/>
      <w:bookmarkEnd w:id="64"/>
    </w:p>
    <w:p w14:paraId="2DA9DC5C">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0CFADE1F">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51E40A21">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4F8D65F2">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76892A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981410E">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C73CA83">
            <w:pPr>
              <w:jc w:val="center"/>
              <w:rPr>
                <w:rFonts w:hint="eastAsia" w:cs="宋体"/>
                <w:b/>
                <w:bCs/>
                <w:sz w:val="18"/>
                <w:szCs w:val="18"/>
              </w:rPr>
            </w:pPr>
            <w:r>
              <w:rPr>
                <w:rFonts w:hint="eastAsia" w:cs="宋体"/>
                <w:b/>
                <w:bCs/>
                <w:sz w:val="18"/>
                <w:szCs w:val="18"/>
              </w:rPr>
              <w:t>特点和适用工况</w:t>
            </w:r>
          </w:p>
        </w:tc>
      </w:tr>
      <w:tr w14:paraId="0C04BA7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129D6C7">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D487C10">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73A2F82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AEF95C7">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87F40E">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E6C148D">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2A85C00">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699E182">
            <w:pPr>
              <w:rPr>
                <w:rFonts w:hint="eastAsia" w:cs="宋体"/>
                <w:sz w:val="18"/>
                <w:szCs w:val="18"/>
              </w:rPr>
            </w:pPr>
            <w:r>
              <w:rPr>
                <w:rFonts w:hint="eastAsia" w:cs="宋体"/>
                <w:sz w:val="18"/>
                <w:szCs w:val="18"/>
              </w:rPr>
              <w:t>旋转流动、强逆压梯度的边界层流动、流动分离和二次流，类似于RNG</w:t>
            </w:r>
          </w:p>
        </w:tc>
      </w:tr>
    </w:tbl>
    <w:p w14:paraId="55256DFD">
      <w:pPr>
        <w:pStyle w:val="4"/>
        <w:numPr>
          <w:ilvl w:val="1"/>
          <w:numId w:val="3"/>
        </w:numPr>
        <w:rPr>
          <w:rFonts w:hint="eastAsia"/>
        </w:rPr>
      </w:pPr>
      <w:bookmarkStart w:id="65" w:name="_Toc452108767"/>
      <w:bookmarkStart w:id="66" w:name="_Toc451698939"/>
      <w:bookmarkStart w:id="67" w:name="_Toc4937"/>
      <w:r>
        <w:rPr>
          <w:rFonts w:hint="eastAsia"/>
        </w:rPr>
        <w:t>求解计算</w:t>
      </w:r>
      <w:bookmarkEnd w:id="65"/>
      <w:bookmarkEnd w:id="66"/>
      <w:bookmarkEnd w:id="67"/>
    </w:p>
    <w:p w14:paraId="3BC613C1">
      <w:pPr>
        <w:pStyle w:val="5"/>
        <w:rPr>
          <w:rFonts w:hint="eastAsia"/>
        </w:rPr>
      </w:pPr>
      <w:r>
        <w:rPr>
          <w:rFonts w:hint="eastAsia"/>
        </w:rPr>
        <w:t>数学模型</w:t>
      </w:r>
    </w:p>
    <w:p w14:paraId="468F1904">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8C6F182">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2015489">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33372E6">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8829E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BAF3243">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6A57C9A">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04739E1">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6532B47F">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6E110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C87A34">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CB25D24">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EBB286C">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A626885">
            <w:pPr>
              <w:widowControl w:val="0"/>
              <w:jc w:val="both"/>
              <w:rPr>
                <w:rFonts w:hint="eastAsia" w:cs="Calibri"/>
                <w:kern w:val="2"/>
                <w:sz w:val="18"/>
                <w:szCs w:val="18"/>
              </w:rPr>
            </w:pPr>
            <w:r>
              <w:rPr>
                <w:sz w:val="18"/>
                <w:szCs w:val="18"/>
              </w:rPr>
              <w:t>0</w:t>
            </w:r>
          </w:p>
        </w:tc>
      </w:tr>
      <w:tr w14:paraId="36F3B1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D99C53">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2CC0BFB">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7ECDB5">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EF220BA">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4527B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FD86F8">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8AA4B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FECB993">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B1A3B3E">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C71D4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C0378D1">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F6D7C49">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19A6E8">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EDF23C">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2A91E5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BF2600D">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224521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9ABCB29">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E8CED38">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D6ACA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A2F6EC">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77F6E0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9266B1E">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3D6004F">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99218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C486887">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04C79EA">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9AEFA14">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DE0796F">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0B1BDA1">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66FB6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FC44412">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0ECB307">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0D7A03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484C71B">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B91D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581E53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11A33E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875572E">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7333180">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523C6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42ECD1C">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1A68CC7">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7F5C4328">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1CAA4C42">
            <w:pPr>
              <w:pStyle w:val="3"/>
              <w:spacing w:line="240" w:lineRule="atLeast"/>
              <w:ind w:firstLine="0" w:firstLineChars="0"/>
              <w:jc w:val="left"/>
              <w:rPr>
                <w:rFonts w:hint="eastAsia" w:ascii="微软雅黑" w:hAnsi="微软雅黑" w:eastAsia="微软雅黑"/>
                <w:sz w:val="18"/>
                <w:szCs w:val="18"/>
                <w:lang w:val="en-US"/>
              </w:rPr>
            </w:pPr>
          </w:p>
        </w:tc>
      </w:tr>
      <w:tr w14:paraId="158F8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F49DBE7">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7875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6958D84">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2ECE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86A82D0">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33A8823">
      <w:pPr>
        <w:pStyle w:val="3"/>
        <w:ind w:firstLine="525" w:firstLineChars="250"/>
        <w:rPr>
          <w:rFonts w:hint="eastAsia" w:ascii="微软雅黑" w:hAnsi="微软雅黑" w:eastAsia="微软雅黑"/>
        </w:rPr>
      </w:pPr>
    </w:p>
    <w:p w14:paraId="18649B01">
      <w:pPr>
        <w:pStyle w:val="5"/>
        <w:rPr>
          <w:rFonts w:hint="eastAsia"/>
        </w:rPr>
      </w:pPr>
      <w:r>
        <w:rPr>
          <w:rFonts w:hint="eastAsia"/>
        </w:rPr>
        <w:t>算法说明</w:t>
      </w:r>
    </w:p>
    <w:p w14:paraId="33EA71BB">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0C8F61C5">
      <w:pPr>
        <w:pStyle w:val="4"/>
        <w:rPr>
          <w:rFonts w:hint="eastAsia"/>
        </w:rPr>
      </w:pPr>
      <w:bookmarkStart w:id="70" w:name="_Toc509844747"/>
      <w:bookmarkStart w:id="71" w:name="_Toc9876"/>
      <w:r>
        <w:rPr>
          <w:rFonts w:hint="eastAsia"/>
        </w:rPr>
        <w:t>风速放大系数计算</w:t>
      </w:r>
      <w:bookmarkEnd w:id="70"/>
      <w:bookmarkEnd w:id="71"/>
    </w:p>
    <w:p w14:paraId="6E36704B">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26CE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27A118F">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50E7C4B">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C111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8D12FD0">
            <w:pPr>
              <w:spacing w:line="360" w:lineRule="exact"/>
              <w:rPr>
                <w:rFonts w:hint="eastAsia"/>
                <w:lang w:val="en-US"/>
              </w:rPr>
            </w:pPr>
          </w:p>
        </w:tc>
        <w:tc>
          <w:tcPr>
            <w:tcW w:w="1832" w:type="dxa"/>
            <w:vAlign w:val="center"/>
          </w:tcPr>
          <w:p w14:paraId="6021B10E">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B118249">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6E4CDAF2">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40675DE3">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1B658A2">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D0A5EA4">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98404BE">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29FF5457">
      <w:pPr>
        <w:pStyle w:val="2"/>
        <w:rPr>
          <w:rFonts w:hint="eastAsia" w:ascii="微软雅黑" w:hAnsi="微软雅黑"/>
        </w:rPr>
      </w:pPr>
      <w:bookmarkStart w:id="73" w:name="_Toc452108768"/>
      <w:bookmarkStart w:id="74" w:name="_Toc30889"/>
      <w:r>
        <w:rPr>
          <w:rFonts w:hint="eastAsia" w:ascii="微软雅黑" w:hAnsi="微软雅黑"/>
        </w:rPr>
        <w:t>结果</w:t>
      </w:r>
      <w:r>
        <w:rPr>
          <w:rFonts w:ascii="微软雅黑" w:hAnsi="微软雅黑"/>
        </w:rPr>
        <w:t>分析</w:t>
      </w:r>
      <w:bookmarkEnd w:id="73"/>
      <w:bookmarkEnd w:id="74"/>
    </w:p>
    <w:p w14:paraId="216D9C7A">
      <w:pPr>
        <w:pStyle w:val="4"/>
        <w:rPr>
          <w:rFonts w:hint="eastAsia"/>
          <w:szCs w:val="21"/>
        </w:rPr>
      </w:pPr>
      <w:bookmarkStart w:id="75" w:name="_Toc19964"/>
      <w:r>
        <w:rPr>
          <w:rFonts w:hint="eastAsia"/>
          <w:szCs w:val="21"/>
        </w:rPr>
        <w:t>工况</w:t>
      </w:r>
      <w:r>
        <w:rPr>
          <w:szCs w:val="21"/>
        </w:rPr>
        <w:t>表</w:t>
      </w:r>
      <w:bookmarkEnd w:id="75"/>
    </w:p>
    <w:p w14:paraId="0FF5C021">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47E69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990C30F">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523EF10C">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1B9D742E">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517FC799">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2C25C612">
            <w:pPr>
              <w:spacing w:line="400" w:lineRule="exact"/>
              <w:jc w:val="center"/>
              <w:rPr>
                <w:rFonts w:hint="eastAsia"/>
                <w:sz w:val="18"/>
                <w:szCs w:val="18"/>
              </w:rPr>
            </w:pPr>
            <w:r>
              <w:rPr>
                <w:rFonts w:hint="eastAsia"/>
                <w:sz w:val="18"/>
                <w:szCs w:val="18"/>
              </w:rPr>
              <w:t>风向（°</w:t>
            </w:r>
            <w:r>
              <w:rPr>
                <w:sz w:val="18"/>
                <w:szCs w:val="18"/>
              </w:rPr>
              <w:t>）</w:t>
            </w:r>
          </w:p>
        </w:tc>
      </w:tr>
      <w:tr w14:paraId="3852E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3895AA8">
            <w:pPr>
              <w:spacing w:line="400" w:lineRule="exact"/>
              <w:jc w:val="center"/>
              <w:rPr>
                <w:rFonts w:hint="eastAsia"/>
                <w:sz w:val="18"/>
                <w:szCs w:val="18"/>
              </w:rPr>
            </w:pPr>
            <w:r>
              <w:rPr>
                <w:rFonts w:hint="eastAsia"/>
                <w:sz w:val="18"/>
                <w:szCs w:val="18"/>
              </w:rPr>
              <w:t>1</w:t>
            </w:r>
          </w:p>
        </w:tc>
        <w:tc>
          <w:tcPr>
            <w:tcW w:w="1166" w:type="pct"/>
            <w:vAlign w:val="center"/>
          </w:tcPr>
          <w:p w14:paraId="616CC1A3">
            <w:pPr>
              <w:spacing w:line="400" w:lineRule="exact"/>
              <w:jc w:val="center"/>
              <w:rPr>
                <w:rFonts w:hint="eastAsia"/>
                <w:sz w:val="18"/>
                <w:szCs w:val="18"/>
              </w:rPr>
            </w:pPr>
            <w:r>
              <w:rPr>
                <w:rFonts w:hint="eastAsia"/>
                <w:sz w:val="18"/>
                <w:szCs w:val="18"/>
              </w:rPr>
              <w:t>冬季</w:t>
            </w:r>
          </w:p>
        </w:tc>
        <w:tc>
          <w:tcPr>
            <w:tcW w:w="1188" w:type="pct"/>
            <w:vAlign w:val="center"/>
          </w:tcPr>
          <w:p w14:paraId="4F26DA7D">
            <w:pPr>
              <w:spacing w:line="400" w:lineRule="exact"/>
              <w:jc w:val="center"/>
              <w:rPr>
                <w:rFonts w:hint="eastAsia"/>
                <w:sz w:val="18"/>
                <w:szCs w:val="18"/>
              </w:rPr>
            </w:pPr>
            <w:r>
              <w:rPr>
                <w:rFonts w:hint="eastAsia"/>
                <w:sz w:val="18"/>
                <w:szCs w:val="18"/>
              </w:rPr>
              <w:t>2.4</w:t>
            </w:r>
          </w:p>
        </w:tc>
        <w:tc>
          <w:tcPr>
            <w:tcW w:w="994" w:type="pct"/>
          </w:tcPr>
          <w:p w14:paraId="41197797">
            <w:pPr>
              <w:spacing w:line="400" w:lineRule="exact"/>
              <w:jc w:val="center"/>
              <w:rPr>
                <w:rFonts w:hint="eastAsia"/>
                <w:sz w:val="18"/>
                <w:szCs w:val="18"/>
              </w:rPr>
            </w:pPr>
            <w:r>
              <w:rPr>
                <w:rFonts w:hint="eastAsia"/>
                <w:sz w:val="18"/>
                <w:szCs w:val="18"/>
              </w:rPr>
              <w:t>N</w:t>
            </w:r>
          </w:p>
        </w:tc>
        <w:tc>
          <w:tcPr>
            <w:tcW w:w="994" w:type="pct"/>
          </w:tcPr>
          <w:p w14:paraId="3F9EC559">
            <w:pPr>
              <w:spacing w:line="400" w:lineRule="exact"/>
              <w:jc w:val="center"/>
              <w:rPr>
                <w:rFonts w:hint="eastAsia"/>
                <w:sz w:val="18"/>
                <w:szCs w:val="18"/>
              </w:rPr>
            </w:pPr>
            <w:r>
              <w:rPr>
                <w:rFonts w:hint="eastAsia"/>
                <w:sz w:val="18"/>
                <w:szCs w:val="18"/>
              </w:rPr>
              <w:t>90.0</w:t>
            </w:r>
          </w:p>
        </w:tc>
      </w:tr>
      <w:tr w14:paraId="4191A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EC8ABBC">
            <w:pPr>
              <w:spacing w:line="400" w:lineRule="exact"/>
              <w:jc w:val="center"/>
              <w:rPr>
                <w:rFonts w:hint="eastAsia"/>
                <w:sz w:val="18"/>
                <w:szCs w:val="18"/>
              </w:rPr>
            </w:pPr>
            <w:r>
              <w:rPr>
                <w:rFonts w:hint="eastAsia"/>
                <w:sz w:val="18"/>
                <w:szCs w:val="18"/>
              </w:rPr>
              <w:t>2</w:t>
            </w:r>
          </w:p>
        </w:tc>
        <w:tc>
          <w:tcPr>
            <w:tcW w:w="1166" w:type="pct"/>
            <w:vAlign w:val="center"/>
          </w:tcPr>
          <w:p w14:paraId="743D12E3">
            <w:pPr>
              <w:spacing w:line="400" w:lineRule="exact"/>
              <w:jc w:val="center"/>
              <w:rPr>
                <w:rFonts w:hint="eastAsia"/>
                <w:sz w:val="18"/>
                <w:szCs w:val="18"/>
              </w:rPr>
            </w:pPr>
            <w:r>
              <w:rPr>
                <w:rFonts w:hint="eastAsia"/>
                <w:sz w:val="18"/>
                <w:szCs w:val="18"/>
              </w:rPr>
              <w:t>夏季</w:t>
            </w:r>
          </w:p>
        </w:tc>
        <w:tc>
          <w:tcPr>
            <w:tcW w:w="1188" w:type="pct"/>
            <w:vAlign w:val="center"/>
          </w:tcPr>
          <w:p w14:paraId="662CB324">
            <w:pPr>
              <w:spacing w:line="400" w:lineRule="exact"/>
              <w:jc w:val="center"/>
              <w:rPr>
                <w:rFonts w:hint="eastAsia"/>
                <w:sz w:val="18"/>
                <w:szCs w:val="18"/>
              </w:rPr>
            </w:pPr>
            <w:r>
              <w:rPr>
                <w:rFonts w:hint="eastAsia"/>
                <w:sz w:val="18"/>
                <w:szCs w:val="18"/>
              </w:rPr>
              <w:t>2.1</w:t>
            </w:r>
          </w:p>
        </w:tc>
        <w:tc>
          <w:tcPr>
            <w:tcW w:w="994" w:type="pct"/>
          </w:tcPr>
          <w:p w14:paraId="629C7C19">
            <w:pPr>
              <w:spacing w:line="400" w:lineRule="exact"/>
              <w:jc w:val="center"/>
              <w:rPr>
                <w:rFonts w:hint="eastAsia"/>
                <w:sz w:val="18"/>
                <w:szCs w:val="18"/>
              </w:rPr>
            </w:pPr>
            <w:r>
              <w:rPr>
                <w:rFonts w:hint="eastAsia"/>
                <w:sz w:val="18"/>
                <w:szCs w:val="18"/>
              </w:rPr>
              <w:t>SE</w:t>
            </w:r>
          </w:p>
        </w:tc>
        <w:tc>
          <w:tcPr>
            <w:tcW w:w="994" w:type="pct"/>
          </w:tcPr>
          <w:p w14:paraId="4AE19F11">
            <w:pPr>
              <w:spacing w:line="400" w:lineRule="exact"/>
              <w:jc w:val="center"/>
              <w:rPr>
                <w:rFonts w:hint="eastAsia"/>
                <w:sz w:val="18"/>
                <w:szCs w:val="18"/>
              </w:rPr>
            </w:pPr>
            <w:r>
              <w:rPr>
                <w:rFonts w:hint="eastAsia"/>
                <w:sz w:val="18"/>
                <w:szCs w:val="18"/>
              </w:rPr>
              <w:t>315.0</w:t>
            </w:r>
          </w:p>
        </w:tc>
      </w:tr>
      <w:tr w14:paraId="5E42D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8AE7D34">
            <w:pPr>
              <w:spacing w:line="400" w:lineRule="exact"/>
              <w:jc w:val="center"/>
              <w:rPr>
                <w:rFonts w:hint="eastAsia"/>
                <w:sz w:val="18"/>
                <w:szCs w:val="18"/>
              </w:rPr>
            </w:pPr>
            <w:r>
              <w:rPr>
                <w:rFonts w:hint="eastAsia"/>
                <w:sz w:val="18"/>
                <w:szCs w:val="18"/>
              </w:rPr>
              <w:t>3</w:t>
            </w:r>
          </w:p>
        </w:tc>
        <w:tc>
          <w:tcPr>
            <w:tcW w:w="1166" w:type="pct"/>
            <w:vAlign w:val="center"/>
          </w:tcPr>
          <w:p w14:paraId="496CAD11">
            <w:pPr>
              <w:spacing w:line="400" w:lineRule="exact"/>
              <w:jc w:val="center"/>
              <w:rPr>
                <w:rFonts w:hint="eastAsia"/>
                <w:sz w:val="18"/>
                <w:szCs w:val="18"/>
              </w:rPr>
            </w:pPr>
            <w:r>
              <w:rPr>
                <w:rFonts w:hint="eastAsia"/>
                <w:sz w:val="18"/>
                <w:szCs w:val="18"/>
              </w:rPr>
              <w:t>过渡季</w:t>
            </w:r>
          </w:p>
        </w:tc>
        <w:tc>
          <w:tcPr>
            <w:tcW w:w="1188" w:type="pct"/>
            <w:vAlign w:val="center"/>
          </w:tcPr>
          <w:p w14:paraId="398E6224">
            <w:pPr>
              <w:spacing w:line="400" w:lineRule="exact"/>
              <w:jc w:val="center"/>
              <w:rPr>
                <w:rFonts w:hint="eastAsia"/>
                <w:sz w:val="18"/>
                <w:szCs w:val="18"/>
              </w:rPr>
            </w:pPr>
            <w:r>
              <w:rPr>
                <w:rFonts w:hint="eastAsia"/>
                <w:sz w:val="18"/>
                <w:szCs w:val="18"/>
              </w:rPr>
              <w:t>1.4</w:t>
            </w:r>
          </w:p>
        </w:tc>
        <w:tc>
          <w:tcPr>
            <w:tcW w:w="994" w:type="pct"/>
          </w:tcPr>
          <w:p w14:paraId="15383B48">
            <w:pPr>
              <w:spacing w:line="400" w:lineRule="exact"/>
              <w:jc w:val="center"/>
              <w:rPr>
                <w:rFonts w:hint="eastAsia"/>
                <w:sz w:val="18"/>
                <w:szCs w:val="18"/>
              </w:rPr>
            </w:pPr>
            <w:r>
              <w:rPr>
                <w:rFonts w:hint="eastAsia"/>
                <w:sz w:val="18"/>
                <w:szCs w:val="18"/>
              </w:rPr>
              <w:t>SSW</w:t>
            </w:r>
          </w:p>
        </w:tc>
        <w:tc>
          <w:tcPr>
            <w:tcW w:w="994" w:type="pct"/>
          </w:tcPr>
          <w:p w14:paraId="6D24BCC4">
            <w:pPr>
              <w:spacing w:line="400" w:lineRule="exact"/>
              <w:jc w:val="center"/>
              <w:rPr>
                <w:rFonts w:hint="eastAsia"/>
                <w:sz w:val="18"/>
                <w:szCs w:val="18"/>
              </w:rPr>
            </w:pPr>
            <w:r>
              <w:rPr>
                <w:rFonts w:hint="eastAsia"/>
                <w:sz w:val="18"/>
                <w:szCs w:val="18"/>
              </w:rPr>
              <w:t>247.5</w:t>
            </w:r>
          </w:p>
        </w:tc>
      </w:tr>
      <w:bookmarkEnd w:id="76"/>
    </w:tbl>
    <w:p w14:paraId="14956057">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39CE8DBD">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5A333F14">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4964BE50">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331FF7C">
      <w:pPr>
        <w:pStyle w:val="4"/>
      </w:pPr>
      <w:bookmarkStart w:id="79" w:name="_Toc509844750"/>
      <w:bookmarkStart w:id="80" w:name="_Toc23808"/>
      <w:r>
        <w:rPr>
          <w:rFonts w:hint="eastAsia"/>
        </w:rPr>
        <w:t>冬季工况</w:t>
      </w:r>
      <w:bookmarkEnd w:id="79"/>
      <w:bookmarkEnd w:id="80"/>
    </w:p>
    <w:p w14:paraId="5E44BBB4">
      <w:pPr>
        <w:ind w:firstLine="420" w:firstLineChars="200"/>
        <w:jc w:val="both"/>
      </w:pPr>
      <w:r>
        <w:rPr>
          <w:rFonts w:hint="eastAsia"/>
          <w:lang w:val="en-US"/>
        </w:rPr>
        <w:t>本项目冬季工况的入口边界风速为</w:t>
      </w:r>
      <w:bookmarkStart w:id="81" w:name="冬季入口边界风速"/>
      <w:r>
        <w:rPr>
          <w:rFonts w:hint="eastAsia"/>
        </w:rPr>
        <w:t>2.36</w:t>
      </w:r>
      <w:bookmarkEnd w:id="81"/>
      <w:r>
        <w:t>m/s</w:t>
      </w:r>
      <w:r>
        <w:rPr>
          <w:rFonts w:hint="eastAsia"/>
        </w:rPr>
        <w:t>，风向为</w:t>
      </w:r>
      <w:bookmarkStart w:id="82" w:name="冬季入口边界风向"/>
      <w:r>
        <w:t>N</w:t>
      </w:r>
      <w:bookmarkEnd w:id="82"/>
      <w:r>
        <w:rPr>
          <w:rFonts w:hint="eastAsia"/>
        </w:rPr>
        <w:t>。</w:t>
      </w:r>
    </w:p>
    <w:p w14:paraId="697C61EC">
      <w:pPr>
        <w:pStyle w:val="5"/>
      </w:pPr>
      <w:bookmarkStart w:id="83" w:name="_Toc509844751"/>
      <w:r>
        <w:rPr>
          <w:rFonts w:hint="eastAsia"/>
        </w:rPr>
        <w:t>风速达标分析</w:t>
      </w:r>
      <w:bookmarkEnd w:id="83"/>
      <w:r>
        <w:rPr>
          <w:rFonts w:hint="eastAsia"/>
        </w:rPr>
        <w:t xml:space="preserve"> </w:t>
      </w:r>
    </w:p>
    <w:p w14:paraId="25146B77">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26C5B7FF">
      <w:pPr>
        <w:pStyle w:val="30"/>
      </w:pPr>
      <w:r>
        <w:rPr>
          <w:rFonts w:hint="eastAsia"/>
        </w:rPr>
        <w:t>分析下列图数据，</w:t>
      </w:r>
      <w:bookmarkStart w:id="84" w:name="冬季工况人行区风速分析结论"/>
      <w:bookmarkEnd w:id="84"/>
      <w:r>
        <w:t>未标示出超标区域，可知人行区域风速为最大值为1.54m/s，小于5m/s，</w:t>
      </w:r>
      <w:r>
        <w:rPr>
          <w:color w:val="0000FF"/>
        </w:rPr>
        <w:t>满足</w:t>
      </w:r>
      <w:r>
        <w:t>绿标要求。</w:t>
      </w:r>
    </w:p>
    <w:p w14:paraId="7845B181">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0185615A">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1A0641F5">
      <w:pPr>
        <w:pStyle w:val="3"/>
        <w:ind w:firstLine="420"/>
        <w:rPr>
          <w:rFonts w:ascii="微软雅黑" w:hAnsi="微软雅黑" w:eastAsia="微软雅黑"/>
          <w:lang w:val="en-US"/>
        </w:rPr>
      </w:pPr>
    </w:p>
    <w:p w14:paraId="12550D05">
      <w:pPr>
        <w:pStyle w:val="5"/>
      </w:pPr>
      <w:bookmarkStart w:id="86" w:name="_Toc509844752"/>
      <w:r>
        <w:rPr>
          <w:rFonts w:hint="eastAsia"/>
        </w:rPr>
        <w:t>风速放大系数达标分析</w:t>
      </w:r>
      <w:bookmarkEnd w:id="86"/>
    </w:p>
    <w:p w14:paraId="600704D4">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图中未标示出风速放大系数超标区域，因此可知人行区域风速放大系数最大值为0.99，小于2，</w:t>
      </w:r>
      <w:r>
        <w:rPr>
          <w:rFonts w:ascii="微软雅黑" w:hAnsi="微软雅黑" w:eastAsia="微软雅黑"/>
          <w:color w:val="0000FF"/>
          <w:lang w:val="en-US"/>
        </w:rPr>
        <w:t>满足</w:t>
      </w:r>
      <w:r>
        <w:rPr>
          <w:rFonts w:ascii="微软雅黑" w:hAnsi="微软雅黑" w:eastAsia="微软雅黑"/>
          <w:lang w:val="en-US"/>
        </w:rPr>
        <w:t>绿标要求。</w:t>
      </w:r>
    </w:p>
    <w:p w14:paraId="48E27478">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63AF347D">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5E4A1C20">
      <w:pPr>
        <w:pStyle w:val="3"/>
        <w:ind w:firstLine="420"/>
        <w:rPr>
          <w:rFonts w:ascii="微软雅黑" w:hAnsi="微软雅黑" w:eastAsia="微软雅黑"/>
          <w:lang w:val="en-US"/>
        </w:rPr>
      </w:pPr>
    </w:p>
    <w:p w14:paraId="60A706D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22833CF2">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3A518FD7">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5"/>
      <w:bookmarkEnd w:id="90"/>
      <w:bookmarkStart w:id="91" w:name="_Toc509844756"/>
      <w:bookmarkEnd w:id="91"/>
      <w:bookmarkStart w:id="92" w:name="_Toc509844757"/>
      <w:bookmarkEnd w:id="92"/>
    </w:p>
    <w:p w14:paraId="1AE6D8F8">
      <w:pPr>
        <w:pStyle w:val="3"/>
        <w:ind w:firstLine="420"/>
        <w:rPr>
          <w:rFonts w:ascii="微软雅黑" w:hAnsi="微软雅黑" w:eastAsia="微软雅黑"/>
          <w:lang w:val="en-US"/>
        </w:rPr>
      </w:pPr>
    </w:p>
    <w:p w14:paraId="1CD95D80">
      <w:pPr>
        <w:pStyle w:val="5"/>
      </w:pPr>
      <w:bookmarkStart w:id="93" w:name="_Toc509844753"/>
      <w:r>
        <w:rPr>
          <w:rFonts w:hint="eastAsia"/>
        </w:rPr>
        <w:t>冬季工况风速/风速放大系数达标</w:t>
      </w:r>
      <w:bookmarkEnd w:id="93"/>
      <w:r>
        <w:rPr>
          <w:rFonts w:hint="eastAsia"/>
        </w:rPr>
        <w:t>结果汇总</w:t>
      </w:r>
    </w:p>
    <w:p w14:paraId="6D43011A">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741344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55CD151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B8F27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0BAE35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5010E5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B433A9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8EB2FF5">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3B047B47">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6AB05C0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679B9FCC">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B3570DA">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655F1A59">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A20214">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571CA7C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7619E90">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70CD5FF">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327A721F">
      <w:pPr>
        <w:rPr>
          <w:rFonts w:ascii="微软雅黑" w:hAnsi="微软雅黑" w:eastAsia="微软雅黑"/>
        </w:rPr>
      </w:pPr>
    </w:p>
    <w:p w14:paraId="30A70308">
      <w:pPr>
        <w:pStyle w:val="5"/>
      </w:pPr>
      <w:r>
        <w:rPr>
          <w:rFonts w:hint="eastAsia"/>
        </w:rPr>
        <w:t>建筑迎风面和背风面风压分析</w:t>
      </w:r>
    </w:p>
    <w:p w14:paraId="6369CD35">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17274B49">
      <w:pPr>
        <w:pStyle w:val="6"/>
        <w:rPr>
          <w:lang w:val="en-US"/>
        </w:rPr>
      </w:pPr>
      <w:r>
        <w:rPr>
          <w:rFonts w:hint="eastAsia"/>
          <w:lang w:val="en-US"/>
        </w:rPr>
        <w:t>建筑迎风面和背风面风压差计算方法</w:t>
      </w:r>
    </w:p>
    <w:p w14:paraId="47C4ACD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6C94D5B3">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082BAE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343B2BD9">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7084038D">
        <w:tblPrEx>
          <w:tblCellMar>
            <w:top w:w="0" w:type="dxa"/>
            <w:left w:w="108" w:type="dxa"/>
            <w:bottom w:w="0" w:type="dxa"/>
            <w:right w:w="108" w:type="dxa"/>
          </w:tblCellMar>
        </w:tblPrEx>
        <w:tc>
          <w:tcPr>
            <w:tcW w:w="5524" w:type="dxa"/>
            <w:shd w:val="clear" w:color="auto" w:fill="auto"/>
          </w:tcPr>
          <w:p w14:paraId="6CDA32DD">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6D6FF6AA">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645B111">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5ADD2A6">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46CF767">
      <w:pPr>
        <w:pStyle w:val="6"/>
      </w:pPr>
      <w:r>
        <w:rPr>
          <w:rFonts w:hint="eastAsia"/>
        </w:rPr>
        <w:t>建筑迎风面和背风面风压云图</w:t>
      </w:r>
    </w:p>
    <w:p w14:paraId="75FB2DD8">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67C4B6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AC1500D">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65E0961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7EABD4AC">
      <w:pPr>
        <w:jc w:val="center"/>
        <w:rPr>
          <w:sz w:val="20"/>
        </w:rPr>
      </w:pPr>
      <w:bookmarkStart w:id="100" w:name="建筑迎背风面风压差表_新增"/>
      <w:bookmarkEnd w:id="100"/>
      <w:bookmarkStart w:id="101" w:name="建筑迎背风面风压差表"/>
    </w:p>
    <w:bookmarkEnd w:id="101"/>
    <w:p w14:paraId="544F8D97">
      <w:pPr>
        <w:pStyle w:val="6"/>
      </w:pPr>
      <w:r>
        <w:rPr>
          <w:rFonts w:hint="eastAsia"/>
        </w:rPr>
        <w:t>建筑迎风和背风面风压差结论汇总</w:t>
      </w:r>
    </w:p>
    <w:p w14:paraId="28B6586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3658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B4C446B">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3776D679">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1E6C5164">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491C37F4">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404E0578">
            <w:pPr>
              <w:jc w:val="center"/>
              <w:rPr>
                <w:sz w:val="18"/>
                <w:szCs w:val="18"/>
                <w:lang w:val="en-US"/>
              </w:rPr>
            </w:pPr>
            <w:r>
              <w:rPr>
                <w:rFonts w:hint="eastAsia"/>
                <w:sz w:val="18"/>
                <w:szCs w:val="18"/>
                <w:lang w:val="en-US"/>
              </w:rPr>
              <w:t>是否达标</w:t>
            </w:r>
          </w:p>
        </w:tc>
      </w:tr>
      <w:tr w14:paraId="70AD1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A75D111">
            <w:pPr>
              <w:jc w:val="center"/>
              <w:rPr>
                <w:sz w:val="18"/>
                <w:szCs w:val="18"/>
                <w:lang w:val="en-US"/>
              </w:rPr>
            </w:pPr>
            <w:r>
              <w:rPr>
                <w:sz w:val="18"/>
                <w:szCs w:val="18"/>
                <w:lang w:val="en-US"/>
              </w:rPr>
              <w:t>未命名</w:t>
            </w:r>
          </w:p>
        </w:tc>
        <w:tc>
          <w:tcPr>
            <w:tcW w:w="1697" w:type="dxa"/>
            <w:shd w:val="clear" w:color="auto" w:fill="auto"/>
            <w:vAlign w:val="center"/>
          </w:tcPr>
          <w:p w14:paraId="693246D9">
            <w:pPr>
              <w:jc w:val="center"/>
              <w:rPr>
                <w:sz w:val="18"/>
                <w:szCs w:val="18"/>
                <w:lang w:val="en-US"/>
              </w:rPr>
            </w:pPr>
            <w:r>
              <w:rPr>
                <w:sz w:val="18"/>
                <w:szCs w:val="18"/>
                <w:lang w:val="en-US"/>
              </w:rPr>
              <w:t>-0.10</w:t>
            </w:r>
          </w:p>
        </w:tc>
        <w:tc>
          <w:tcPr>
            <w:tcW w:w="1697" w:type="dxa"/>
            <w:shd w:val="clear" w:color="auto" w:fill="auto"/>
            <w:vAlign w:val="center"/>
          </w:tcPr>
          <w:p w14:paraId="59949323">
            <w:pPr>
              <w:jc w:val="center"/>
              <w:rPr>
                <w:sz w:val="18"/>
                <w:szCs w:val="18"/>
                <w:lang w:val="en-US"/>
              </w:rPr>
            </w:pPr>
            <w:r>
              <w:rPr>
                <w:sz w:val="18"/>
                <w:szCs w:val="18"/>
                <w:lang w:val="en-US"/>
              </w:rPr>
              <w:t>-0.84</w:t>
            </w:r>
          </w:p>
        </w:tc>
        <w:tc>
          <w:tcPr>
            <w:tcW w:w="2401" w:type="dxa"/>
            <w:shd w:val="clear" w:color="auto" w:fill="auto"/>
            <w:vAlign w:val="center"/>
          </w:tcPr>
          <w:p w14:paraId="4584F240">
            <w:pPr>
              <w:jc w:val="center"/>
              <w:rPr>
                <w:sz w:val="18"/>
                <w:szCs w:val="18"/>
                <w:lang w:val="en-US"/>
              </w:rPr>
            </w:pPr>
            <w:r>
              <w:rPr>
                <w:sz w:val="18"/>
                <w:szCs w:val="18"/>
                <w:lang w:val="en-US"/>
              </w:rPr>
              <w:t>0.74</w:t>
            </w:r>
          </w:p>
        </w:tc>
        <w:tc>
          <w:tcPr>
            <w:tcW w:w="1151" w:type="dxa"/>
            <w:shd w:val="clear" w:color="auto" w:fill="auto"/>
            <w:vAlign w:val="center"/>
          </w:tcPr>
          <w:p w14:paraId="1C929852">
            <w:pPr>
              <w:jc w:val="center"/>
              <w:rPr>
                <w:sz w:val="18"/>
                <w:szCs w:val="18"/>
                <w:lang w:val="en-US"/>
              </w:rPr>
            </w:pPr>
            <w:r>
              <w:rPr>
                <w:sz w:val="18"/>
                <w:szCs w:val="18"/>
                <w:lang w:val="en-US"/>
              </w:rPr>
              <w:t>不参评</w:t>
            </w:r>
          </w:p>
        </w:tc>
      </w:tr>
      <w:tr w14:paraId="4F267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71D045A">
            <w:pPr>
              <w:jc w:val="center"/>
              <w:rPr>
                <w:sz w:val="18"/>
                <w:szCs w:val="18"/>
                <w:lang w:val="en-US"/>
              </w:rPr>
            </w:pPr>
            <w:r>
              <w:rPr>
                <w:sz w:val="18"/>
                <w:szCs w:val="18"/>
                <w:lang w:val="en-US"/>
              </w:rPr>
              <w:t>宿马分校食堂改造前</w:t>
            </w:r>
          </w:p>
        </w:tc>
        <w:tc>
          <w:tcPr>
            <w:tcW w:w="1697" w:type="dxa"/>
            <w:shd w:val="clear" w:color="auto" w:fill="auto"/>
            <w:vAlign w:val="center"/>
          </w:tcPr>
          <w:p w14:paraId="5769B1C6">
            <w:pPr>
              <w:jc w:val="center"/>
              <w:rPr>
                <w:sz w:val="18"/>
                <w:szCs w:val="18"/>
                <w:lang w:val="en-US"/>
              </w:rPr>
            </w:pPr>
            <w:r>
              <w:rPr>
                <w:sz w:val="18"/>
                <w:szCs w:val="18"/>
                <w:lang w:val="en-US"/>
              </w:rPr>
              <w:t>1.72</w:t>
            </w:r>
          </w:p>
        </w:tc>
        <w:tc>
          <w:tcPr>
            <w:tcW w:w="1697" w:type="dxa"/>
            <w:shd w:val="clear" w:color="auto" w:fill="auto"/>
            <w:vAlign w:val="center"/>
          </w:tcPr>
          <w:p w14:paraId="72E3452F">
            <w:pPr>
              <w:jc w:val="center"/>
              <w:rPr>
                <w:sz w:val="18"/>
                <w:szCs w:val="18"/>
                <w:lang w:val="en-US"/>
              </w:rPr>
            </w:pPr>
            <w:r>
              <w:rPr>
                <w:sz w:val="18"/>
                <w:szCs w:val="18"/>
                <w:lang w:val="en-US"/>
              </w:rPr>
              <w:t>-1.01</w:t>
            </w:r>
          </w:p>
        </w:tc>
        <w:tc>
          <w:tcPr>
            <w:tcW w:w="2401" w:type="dxa"/>
            <w:shd w:val="clear" w:color="auto" w:fill="auto"/>
            <w:vAlign w:val="center"/>
          </w:tcPr>
          <w:p w14:paraId="4057C48F">
            <w:pPr>
              <w:jc w:val="center"/>
              <w:rPr>
                <w:sz w:val="18"/>
                <w:szCs w:val="18"/>
                <w:lang w:val="en-US"/>
              </w:rPr>
            </w:pPr>
            <w:r>
              <w:rPr>
                <w:sz w:val="18"/>
                <w:szCs w:val="18"/>
                <w:lang w:val="en-US"/>
              </w:rPr>
              <w:t>2.73</w:t>
            </w:r>
          </w:p>
        </w:tc>
        <w:tc>
          <w:tcPr>
            <w:tcW w:w="1151" w:type="dxa"/>
            <w:shd w:val="clear" w:color="auto" w:fill="auto"/>
            <w:vAlign w:val="center"/>
          </w:tcPr>
          <w:p w14:paraId="7E1A288D">
            <w:pPr>
              <w:jc w:val="center"/>
              <w:rPr>
                <w:sz w:val="18"/>
                <w:szCs w:val="18"/>
                <w:lang w:val="en-US"/>
              </w:rPr>
            </w:pPr>
            <w:r>
              <w:rPr>
                <w:sz w:val="18"/>
                <w:szCs w:val="18"/>
                <w:lang w:val="en-US"/>
              </w:rPr>
              <w:t>是</w:t>
            </w:r>
          </w:p>
        </w:tc>
      </w:tr>
      <w:bookmarkEnd w:id="102"/>
    </w:tbl>
    <w:p w14:paraId="6153994D">
      <w:pPr>
        <w:rPr>
          <w:lang w:val="en-US"/>
        </w:rPr>
      </w:pPr>
      <w:bookmarkStart w:id="103" w:name="建筑迎风和背风面风压差结论汇总结论"/>
      <w:bookmarkEnd w:id="103"/>
      <w:r>
        <w:rPr>
          <w:lang w:val="en-US"/>
        </w:rPr>
        <w:t>结论：本项目中参评建筑</w:t>
      </w:r>
      <w:r>
        <w:rPr>
          <w:b/>
          <w:color w:val="0000FF"/>
          <w:lang w:val="en-US"/>
        </w:rPr>
        <w:t>满足</w:t>
      </w:r>
      <w:r>
        <w:rPr>
          <w:lang w:val="en-US"/>
        </w:rPr>
        <w:t>“除迎风第一排建筑外，建筑迎风面与背风面表面风压差不超过5Pa”的要求。</w:t>
      </w:r>
    </w:p>
    <w:p w14:paraId="4761048D">
      <w:pPr>
        <w:rPr>
          <w:lang w:val="en-US"/>
        </w:rPr>
      </w:pPr>
      <w:r>
        <w:rPr>
          <w:b/>
          <w:color w:val="000000"/>
          <w:lang w:val="en-US"/>
        </w:rPr>
        <w:t>说明：所有单体建筑各层迎风和背风面风压差信息详见附录。</w:t>
      </w:r>
    </w:p>
    <w:p w14:paraId="63334014">
      <w:pPr>
        <w:rPr>
          <w:rFonts w:hint="eastAsia"/>
          <w:lang w:val="en-US"/>
        </w:rPr>
      </w:pPr>
      <w:bookmarkStart w:id="104" w:name="冬季工况"/>
      <w:bookmarkEnd w:id="104"/>
      <w:r>
        <w:rPr>
          <w:rFonts w:hint="eastAsia"/>
          <w:lang w:val="en-US"/>
        </w:rPr>
        <w:t xml:space="preserve"> </w:t>
      </w:r>
    </w:p>
    <w:p w14:paraId="51BA9494">
      <w:pPr>
        <w:pStyle w:val="4"/>
      </w:pPr>
      <w:bookmarkStart w:id="105" w:name="_Toc509844759"/>
      <w:bookmarkStart w:id="106" w:name="_Toc28138"/>
      <w:r>
        <w:rPr>
          <w:rFonts w:hint="eastAsia"/>
        </w:rPr>
        <w:t>夏季工况</w:t>
      </w:r>
      <w:bookmarkEnd w:id="105"/>
      <w:bookmarkEnd w:id="106"/>
    </w:p>
    <w:p w14:paraId="3098DBBB">
      <w:pPr>
        <w:ind w:firstLine="420"/>
      </w:pPr>
      <w:r>
        <w:rPr>
          <w:rFonts w:hint="eastAsia"/>
          <w:lang w:val="en-US"/>
        </w:rPr>
        <w:t>本项目夏季工况的入口边界风速为</w:t>
      </w:r>
      <w:bookmarkStart w:id="107" w:name="入口边界风速"/>
      <w:r>
        <w:rPr>
          <w:rFonts w:hint="eastAsia"/>
          <w:lang w:val="en-US"/>
        </w:rPr>
        <w:t>2.14</w:t>
      </w:r>
      <w:bookmarkEnd w:id="107"/>
      <w:r>
        <w:rPr>
          <w:rFonts w:hint="eastAsia"/>
          <w:lang w:val="en-US"/>
        </w:rPr>
        <w:t>m/s，风向为</w:t>
      </w:r>
      <w:bookmarkStart w:id="108" w:name="入口边界风向"/>
      <w:r>
        <w:t>SE</w:t>
      </w:r>
      <w:bookmarkEnd w:id="108"/>
      <w:r>
        <w:rPr>
          <w:rFonts w:hint="eastAsia"/>
          <w:lang w:val="en-US"/>
        </w:rPr>
        <w:t>。</w:t>
      </w:r>
    </w:p>
    <w:p w14:paraId="0CF2B5F0">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370988CC">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441739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C38768A">
      <w:pPr>
        <w:pStyle w:val="5"/>
      </w:pPr>
      <w:bookmarkStart w:id="111" w:name="_Toc509844760"/>
      <w:r>
        <w:rPr>
          <w:rFonts w:hint="eastAsia"/>
        </w:rPr>
        <w:t>无风区计算分析</w:t>
      </w:r>
      <w:bookmarkEnd w:id="111"/>
    </w:p>
    <w:p w14:paraId="76C03DB9">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59FC668D">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55069C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D83B86B">
      <w:pPr>
        <w:pStyle w:val="3"/>
        <w:ind w:firstLine="420"/>
        <w:rPr>
          <w:rFonts w:ascii="微软雅黑" w:hAnsi="微软雅黑" w:eastAsia="微软雅黑"/>
        </w:rPr>
      </w:pPr>
    </w:p>
    <w:p w14:paraId="2CFEB83E">
      <w:pPr>
        <w:pStyle w:val="5"/>
      </w:pPr>
      <w:bookmarkStart w:id="114" w:name="_Toc509844761"/>
      <w:r>
        <w:rPr>
          <w:rFonts w:hint="eastAsia"/>
        </w:rPr>
        <w:t>旋涡区分析</w:t>
      </w:r>
      <w:bookmarkEnd w:id="114"/>
    </w:p>
    <w:p w14:paraId="0159F802">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02F1704">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28C97E6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6F82D85">
      <w:pPr>
        <w:pStyle w:val="3"/>
        <w:ind w:firstLine="420"/>
        <w:rPr>
          <w:rFonts w:ascii="微软雅黑" w:hAnsi="微软雅黑" w:eastAsia="微软雅黑"/>
          <w:lang w:val="en-US"/>
        </w:rPr>
      </w:pPr>
    </w:p>
    <w:p w14:paraId="38FC6BCA">
      <w:pPr>
        <w:pStyle w:val="5"/>
      </w:pPr>
      <w:bookmarkStart w:id="116" w:name="_Toc509844762"/>
      <w:r>
        <w:rPr>
          <w:rFonts w:hint="eastAsia"/>
        </w:rPr>
        <w:t>旋涡区/无风区达标</w:t>
      </w:r>
      <w:bookmarkEnd w:id="116"/>
      <w:r>
        <w:rPr>
          <w:rFonts w:hint="eastAsia"/>
        </w:rPr>
        <w:t>结果汇总</w:t>
      </w:r>
    </w:p>
    <w:p w14:paraId="0645A4E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F7B4D98">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19518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208DB77">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37714C8">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BCB2362">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807F87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70220CEC">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4924D467">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137697F">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432278BF">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7BB1695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DE38406">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C0BB942">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0AF30BB">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52BBDF2D">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6126602B">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18AE9715">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575C667E">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075A1F4">
      <w:pPr>
        <w:ind w:firstLine="420"/>
      </w:pPr>
      <w:r>
        <w:rPr>
          <w:rFonts w:hint="eastAsia"/>
          <w:lang w:val="en-US"/>
        </w:rPr>
        <w:t>下图为夏季工况下，建筑迎风面和背风面对应外窗表面的风压分布图，结合图例数值可以清晰看到外窗表面风压小于0.5Pa的外窗区域。</w:t>
      </w:r>
    </w:p>
    <w:p w14:paraId="48B80E6C">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5BEC7CA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23C333EE">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69E4165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03ABD5D3">
      <w:pPr>
        <w:ind w:firstLine="420"/>
      </w:pPr>
      <w:r>
        <w:rPr>
          <w:rFonts w:hint="eastAsia"/>
        </w:rPr>
        <w:t>下表为依据上图提取的外窗外表面平均风压数据，相当于外窗室内外表面风压差数据，并依据标准做出达标判断：</w:t>
      </w:r>
    </w:p>
    <w:p w14:paraId="5A4F72B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202E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20F08A7">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40A7AB78">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7551F669">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D7E983A">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A2284A6">
            <w:pPr>
              <w:jc w:val="center"/>
              <w:rPr>
                <w:sz w:val="18"/>
                <w:szCs w:val="18"/>
                <w:lang w:val="en-US"/>
              </w:rPr>
            </w:pPr>
            <w:r>
              <w:rPr>
                <w:rFonts w:hint="eastAsia"/>
                <w:sz w:val="18"/>
                <w:szCs w:val="18"/>
                <w:lang w:val="en-US"/>
              </w:rPr>
              <w:t>是否达标</w:t>
            </w:r>
          </w:p>
        </w:tc>
      </w:tr>
      <w:tr w14:paraId="02D41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81A52FE">
            <w:pPr>
              <w:jc w:val="center"/>
              <w:rPr>
                <w:sz w:val="18"/>
                <w:szCs w:val="18"/>
                <w:lang w:val="en-US"/>
              </w:rPr>
            </w:pPr>
            <w:r>
              <w:rPr>
                <w:sz w:val="18"/>
                <w:szCs w:val="18"/>
                <w:lang w:val="en-US"/>
              </w:rPr>
              <w:t>宿马分校食堂改造前</w:t>
            </w:r>
          </w:p>
        </w:tc>
        <w:tc>
          <w:tcPr>
            <w:tcW w:w="1843" w:type="dxa"/>
            <w:shd w:val="clear" w:color="auto" w:fill="auto"/>
            <w:vAlign w:val="center"/>
          </w:tcPr>
          <w:p w14:paraId="5818C1C0">
            <w:pPr>
              <w:jc w:val="center"/>
              <w:rPr>
                <w:sz w:val="18"/>
                <w:szCs w:val="18"/>
                <w:lang w:val="en-US"/>
              </w:rPr>
            </w:pPr>
            <w:r>
              <w:rPr>
                <w:sz w:val="18"/>
                <w:szCs w:val="18"/>
                <w:lang w:val="en-US"/>
              </w:rPr>
              <w:t>110</w:t>
            </w:r>
          </w:p>
        </w:tc>
        <w:tc>
          <w:tcPr>
            <w:tcW w:w="2552" w:type="dxa"/>
            <w:shd w:val="clear" w:color="auto" w:fill="auto"/>
            <w:vAlign w:val="center"/>
          </w:tcPr>
          <w:p w14:paraId="51A07A5E">
            <w:pPr>
              <w:jc w:val="center"/>
              <w:rPr>
                <w:sz w:val="18"/>
                <w:szCs w:val="18"/>
                <w:lang w:val="en-US"/>
              </w:rPr>
            </w:pPr>
            <w:r>
              <w:rPr>
                <w:sz w:val="18"/>
                <w:szCs w:val="18"/>
                <w:lang w:val="en-US"/>
              </w:rPr>
              <w:t>60</w:t>
            </w:r>
          </w:p>
        </w:tc>
        <w:tc>
          <w:tcPr>
            <w:tcW w:w="1559" w:type="dxa"/>
            <w:shd w:val="clear" w:color="auto" w:fill="auto"/>
            <w:vAlign w:val="center"/>
          </w:tcPr>
          <w:p w14:paraId="2BC41A98">
            <w:pPr>
              <w:jc w:val="center"/>
              <w:rPr>
                <w:sz w:val="18"/>
                <w:szCs w:val="18"/>
                <w:lang w:val="en-US"/>
              </w:rPr>
            </w:pPr>
            <w:r>
              <w:rPr>
                <w:sz w:val="18"/>
                <w:szCs w:val="18"/>
                <w:lang w:val="en-US"/>
              </w:rPr>
              <w:t>54.55</w:t>
            </w:r>
          </w:p>
        </w:tc>
        <w:tc>
          <w:tcPr>
            <w:tcW w:w="1276" w:type="dxa"/>
            <w:shd w:val="clear" w:color="auto" w:fill="auto"/>
            <w:vAlign w:val="center"/>
          </w:tcPr>
          <w:p w14:paraId="7E552033">
            <w:pPr>
              <w:jc w:val="center"/>
              <w:rPr>
                <w:sz w:val="18"/>
                <w:szCs w:val="18"/>
                <w:lang w:val="en-US"/>
              </w:rPr>
            </w:pPr>
            <w:r>
              <w:rPr>
                <w:sz w:val="18"/>
                <w:szCs w:val="18"/>
                <w:lang w:val="en-US"/>
              </w:rPr>
              <w:t>是</w:t>
            </w:r>
          </w:p>
        </w:tc>
      </w:tr>
      <w:bookmarkEnd w:id="129"/>
    </w:tbl>
    <w:p w14:paraId="1FFBAAB5">
      <w:pPr>
        <w:rPr>
          <w:sz w:val="18"/>
          <w:szCs w:val="18"/>
        </w:rPr>
      </w:pPr>
      <w:r>
        <w:rPr>
          <w:rFonts w:hint="eastAsia"/>
          <w:sz w:val="18"/>
          <w:szCs w:val="18"/>
          <w:lang w:val="en-US"/>
        </w:rPr>
        <w:t>说明：达标比例＝（室内外风压差大于0.5Pa的总数/可开启外窗总数）*100％</w:t>
      </w:r>
    </w:p>
    <w:p w14:paraId="732958E3">
      <w:pPr>
        <w:rPr>
          <w:lang w:val="en-US"/>
        </w:rPr>
      </w:pPr>
    </w:p>
    <w:p w14:paraId="0B0BF7B2">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3C90DD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6EA2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B898BDB">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11217F60">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1EEBA99">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6749730D">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128430E">
            <w:pPr>
              <w:spacing w:line="440" w:lineRule="exact"/>
              <w:jc w:val="center"/>
              <w:rPr>
                <w:sz w:val="18"/>
                <w:szCs w:val="18"/>
                <w:lang w:val="en-US"/>
              </w:rPr>
            </w:pPr>
            <w:r>
              <w:rPr>
                <w:rFonts w:hint="eastAsia"/>
                <w:sz w:val="18"/>
                <w:szCs w:val="18"/>
                <w:lang w:val="en-US"/>
              </w:rPr>
              <w:t>是否达标</w:t>
            </w:r>
          </w:p>
        </w:tc>
      </w:tr>
      <w:tr w14:paraId="22376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45326F2">
            <w:pPr>
              <w:spacing w:line="440" w:lineRule="exact"/>
              <w:jc w:val="center"/>
              <w:rPr>
                <w:sz w:val="18"/>
                <w:szCs w:val="18"/>
                <w:lang w:val="en-US"/>
              </w:rPr>
            </w:pPr>
            <w:r>
              <w:rPr>
                <w:sz w:val="18"/>
                <w:szCs w:val="18"/>
                <w:lang w:val="en-US"/>
              </w:rPr>
              <w:t>未命名</w:t>
            </w:r>
          </w:p>
        </w:tc>
        <w:tc>
          <w:tcPr>
            <w:tcW w:w="1335" w:type="dxa"/>
            <w:vAlign w:val="center"/>
          </w:tcPr>
          <w:p w14:paraId="6D3F026A">
            <w:pPr>
              <w:spacing w:line="440" w:lineRule="exact"/>
              <w:jc w:val="center"/>
              <w:rPr>
                <w:sz w:val="18"/>
                <w:szCs w:val="18"/>
                <w:lang w:val="en-US"/>
              </w:rPr>
            </w:pPr>
            <w:r>
              <w:rPr>
                <w:sz w:val="18"/>
                <w:szCs w:val="18"/>
                <w:lang w:val="en-US"/>
              </w:rPr>
              <w:t>22501.40</w:t>
            </w:r>
          </w:p>
        </w:tc>
        <w:tc>
          <w:tcPr>
            <w:tcW w:w="3484" w:type="dxa"/>
            <w:vAlign w:val="center"/>
          </w:tcPr>
          <w:p w14:paraId="3EFEF0F9">
            <w:pPr>
              <w:spacing w:line="440" w:lineRule="exact"/>
              <w:jc w:val="center"/>
              <w:rPr>
                <w:sz w:val="18"/>
                <w:szCs w:val="18"/>
                <w:lang w:val="en-US"/>
              </w:rPr>
            </w:pPr>
            <w:r>
              <w:rPr>
                <w:sz w:val="18"/>
                <w:szCs w:val="18"/>
                <w:lang w:val="en-US"/>
              </w:rPr>
              <w:t>11978.10</w:t>
            </w:r>
          </w:p>
        </w:tc>
        <w:tc>
          <w:tcPr>
            <w:tcW w:w="1085" w:type="dxa"/>
            <w:vAlign w:val="center"/>
          </w:tcPr>
          <w:p w14:paraId="76293C98">
            <w:pPr>
              <w:spacing w:line="440" w:lineRule="exact"/>
              <w:jc w:val="center"/>
              <w:rPr>
                <w:sz w:val="18"/>
                <w:szCs w:val="18"/>
                <w:lang w:val="en-US"/>
              </w:rPr>
            </w:pPr>
            <w:r>
              <w:rPr>
                <w:sz w:val="18"/>
                <w:szCs w:val="18"/>
                <w:lang w:val="en-US"/>
              </w:rPr>
              <w:t>53.23</w:t>
            </w:r>
          </w:p>
        </w:tc>
        <w:tc>
          <w:tcPr>
            <w:tcW w:w="1042" w:type="dxa"/>
            <w:vAlign w:val="center"/>
          </w:tcPr>
          <w:p w14:paraId="5120295F">
            <w:pPr>
              <w:spacing w:line="440" w:lineRule="exact"/>
              <w:jc w:val="center"/>
              <w:rPr>
                <w:sz w:val="18"/>
                <w:szCs w:val="18"/>
                <w:lang w:val="en-US"/>
              </w:rPr>
            </w:pPr>
            <w:r>
              <w:rPr>
                <w:sz w:val="18"/>
                <w:szCs w:val="18"/>
                <w:lang w:val="en-US"/>
              </w:rPr>
              <w:t>是</w:t>
            </w:r>
          </w:p>
        </w:tc>
      </w:tr>
      <w:bookmarkEnd w:id="130"/>
    </w:tbl>
    <w:p w14:paraId="59C7A30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2B7457C">
      <w:r>
        <w:rPr>
          <w:rFonts w:hint="eastAsia"/>
        </w:rPr>
        <w:t xml:space="preserve"> </w:t>
      </w:r>
    </w:p>
    <w:p w14:paraId="75B1CF19">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5E47D8C3">
      <w:pPr>
        <w:pStyle w:val="4"/>
      </w:pPr>
      <w:bookmarkStart w:id="132" w:name="_Toc122"/>
      <w:r>
        <w:rPr>
          <w:rFonts w:hint="eastAsia"/>
        </w:rPr>
        <w:t>过渡季工况</w:t>
      </w:r>
      <w:bookmarkEnd w:id="132"/>
    </w:p>
    <w:p w14:paraId="61C956B6">
      <w:pPr>
        <w:ind w:firstLine="420"/>
      </w:pPr>
      <w:r>
        <w:rPr>
          <w:rFonts w:hint="eastAsia"/>
          <w:lang w:val="en-US"/>
        </w:rPr>
        <w:t>本项目过渡季工况的入口边界风速为1.44</w:t>
      </w:r>
      <w:bookmarkEnd w:id="3"/>
      <w:r>
        <w:rPr>
          <w:rFonts w:hint="eastAsia"/>
          <w:lang w:val="en-US"/>
        </w:rPr>
        <w:t>m/s，风向为</w:t>
      </w:r>
      <w:r>
        <w:t>SSW</w:t>
      </w:r>
      <w:bookmarkEnd w:id="4"/>
      <w:r>
        <w:rPr>
          <w:rFonts w:hint="eastAsia"/>
          <w:lang w:val="en-US"/>
        </w:rPr>
        <w:t>。</w:t>
      </w:r>
    </w:p>
    <w:p w14:paraId="68EA7011">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0B04081D">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24265BD">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5585C04">
      <w:pPr>
        <w:pStyle w:val="5"/>
      </w:pPr>
      <w:r>
        <w:rPr>
          <w:rFonts w:hint="eastAsia"/>
        </w:rPr>
        <w:t>无风区计算分析</w:t>
      </w:r>
      <w:bookmarkEnd w:id="8"/>
    </w:p>
    <w:p w14:paraId="6544FA58">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bookmarkEnd w:id="2"/>
    <w:p w14:paraId="1D46D2CD">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04074C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D9A23CD">
      <w:pPr>
        <w:pStyle w:val="3"/>
        <w:ind w:firstLine="420"/>
        <w:rPr>
          <w:rFonts w:ascii="微软雅黑" w:hAnsi="微软雅黑" w:eastAsia="微软雅黑"/>
        </w:rPr>
      </w:pPr>
    </w:p>
    <w:p w14:paraId="127ED62F">
      <w:pPr>
        <w:pStyle w:val="5"/>
      </w:pPr>
      <w:r>
        <w:rPr>
          <w:rFonts w:hint="eastAsia"/>
        </w:rPr>
        <w:t>旋涡区分析</w:t>
      </w:r>
      <w:bookmarkEnd w:id="10"/>
    </w:p>
    <w:p w14:paraId="2A412048">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03FDAA8D">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4454373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2D90A78">
      <w:pPr>
        <w:pStyle w:val="3"/>
        <w:ind w:firstLine="420"/>
        <w:rPr>
          <w:rFonts w:ascii="微软雅黑" w:hAnsi="微软雅黑" w:eastAsia="微软雅黑"/>
          <w:lang w:val="en-US"/>
        </w:rPr>
      </w:pPr>
    </w:p>
    <w:p w14:paraId="3BFDFC0C">
      <w:pPr>
        <w:pStyle w:val="5"/>
      </w:pPr>
      <w:r>
        <w:rPr>
          <w:rFonts w:hint="eastAsia"/>
        </w:rPr>
        <w:t>旋涡区/无风区达标</w:t>
      </w:r>
      <w:bookmarkEnd w:id="13"/>
      <w:r>
        <w:rPr>
          <w:rFonts w:hint="eastAsia"/>
        </w:rPr>
        <w:t>结果汇总</w:t>
      </w:r>
    </w:p>
    <w:p w14:paraId="292C012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848C2B2">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69A038">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417331E">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58F76B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3EE2A6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AAFD60F">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0405DD0">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317FFA5B">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11017F0">
            <w:pPr>
              <w:spacing w:line="440" w:lineRule="exact"/>
              <w:jc w:val="center"/>
              <w:rPr>
                <w:rFonts w:cs="宋体"/>
                <w:color w:val="000000"/>
                <w:sz w:val="18"/>
                <w:szCs w:val="18"/>
                <w:lang w:val="en-US"/>
              </w:rPr>
            </w:pPr>
            <w:r>
              <w:rPr>
                <w:rFonts w:hint="eastAsia" w:cs="宋体"/>
                <w:color w:val="FF0000"/>
                <w:sz w:val="18"/>
                <w:szCs w:val="18"/>
                <w:lang w:val="en-US"/>
              </w:rPr>
              <w:t>是</w:t>
            </w:r>
            <w:bookmarkEnd w:id="14"/>
          </w:p>
        </w:tc>
        <w:tc>
          <w:tcPr>
            <w:tcW w:w="1702" w:type="dxa"/>
            <w:tcBorders>
              <w:top w:val="nil"/>
              <w:left w:val="nil"/>
              <w:bottom w:val="single" w:color="auto" w:sz="4" w:space="0"/>
              <w:right w:val="single" w:color="auto" w:sz="4" w:space="0"/>
            </w:tcBorders>
            <w:shd w:val="clear" w:color="auto" w:fill="auto"/>
            <w:noWrap/>
            <w:vAlign w:val="center"/>
          </w:tcPr>
          <w:p w14:paraId="7084A628">
            <w:pPr>
              <w:spacing w:line="440" w:lineRule="exact"/>
              <w:jc w:val="center"/>
              <w:rPr>
                <w:rFonts w:cs="宋体"/>
                <w:color w:val="000000"/>
                <w:sz w:val="18"/>
                <w:szCs w:val="18"/>
                <w:lang w:val="en-US"/>
              </w:rPr>
            </w:pPr>
            <w:r>
              <w:rPr>
                <w:rFonts w:hint="eastAsia" w:cs="宋体"/>
                <w:color w:val="FF0000"/>
                <w:sz w:val="18"/>
                <w:szCs w:val="18"/>
                <w:lang w:val="en-US"/>
              </w:rPr>
              <w:t>否</w:t>
            </w:r>
            <w:bookmarkEnd w:id="16"/>
          </w:p>
        </w:tc>
      </w:tr>
      <w:tr w14:paraId="7B3D2D00">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65827B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6B9C8CDD">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1BE7E4F">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1714A50D">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428694E7">
      <w:pPr>
        <w:pStyle w:val="5"/>
      </w:pPr>
      <w:r>
        <w:rPr>
          <w:rFonts w:hint="eastAsia"/>
        </w:rPr>
        <w:t>外窗内外表面风压</w:t>
      </w:r>
      <w:bookmarkEnd w:id="18"/>
      <w:r>
        <w:rPr>
          <w:rFonts w:hint="eastAsia"/>
        </w:rPr>
        <w:t>差达标分析</w:t>
      </w:r>
      <w:bookmarkEnd w:id="19"/>
    </w:p>
    <w:p w14:paraId="72BB6BD1">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3746EB60">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BDDE723">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3A37E324">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01E94F5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7253459F">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51A9016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3FDAC49B">
      <w:pPr>
        <w:ind w:firstLine="420"/>
      </w:pPr>
      <w:r>
        <w:rPr>
          <w:rFonts w:hint="eastAsia"/>
        </w:rPr>
        <w:t>下表为依据上图提取的外窗外表面平均风压数据，相当于外窗室内外表面风压差数据，并依据标准做出达标判断：</w:t>
      </w:r>
    </w:p>
    <w:p w14:paraId="075A89D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FB38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F1B3B15">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0BF8CFA2">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22E2BA61">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26E152F">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433C93FE">
            <w:pPr>
              <w:jc w:val="center"/>
              <w:rPr>
                <w:sz w:val="18"/>
                <w:szCs w:val="18"/>
                <w:lang w:val="en-US"/>
              </w:rPr>
            </w:pPr>
            <w:r>
              <w:rPr>
                <w:rFonts w:hint="eastAsia"/>
                <w:sz w:val="18"/>
                <w:szCs w:val="18"/>
                <w:lang w:val="en-US"/>
              </w:rPr>
              <w:t>是否达标</w:t>
            </w:r>
          </w:p>
        </w:tc>
      </w:tr>
      <w:tr w14:paraId="5A2B5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DCAD24C">
            <w:pPr>
              <w:jc w:val="center"/>
              <w:rPr>
                <w:sz w:val="18"/>
                <w:szCs w:val="18"/>
                <w:lang w:val="en-US"/>
              </w:rPr>
            </w:pPr>
            <w:r>
              <w:rPr>
                <w:sz w:val="18"/>
                <w:szCs w:val="18"/>
                <w:lang w:val="en-US"/>
              </w:rPr>
              <w:t>宿马分校食堂改造前</w:t>
            </w:r>
          </w:p>
        </w:tc>
        <w:tc>
          <w:tcPr>
            <w:tcW w:w="1843" w:type="dxa"/>
            <w:shd w:val="clear" w:color="auto" w:fill="auto"/>
            <w:vAlign w:val="center"/>
          </w:tcPr>
          <w:p w14:paraId="057584AC">
            <w:pPr>
              <w:jc w:val="center"/>
              <w:rPr>
                <w:sz w:val="18"/>
                <w:szCs w:val="18"/>
                <w:lang w:val="en-US"/>
              </w:rPr>
            </w:pPr>
            <w:r>
              <w:rPr>
                <w:sz w:val="18"/>
                <w:szCs w:val="18"/>
                <w:lang w:val="en-US"/>
              </w:rPr>
              <w:t>110</w:t>
            </w:r>
          </w:p>
        </w:tc>
        <w:tc>
          <w:tcPr>
            <w:tcW w:w="2552" w:type="dxa"/>
            <w:shd w:val="clear" w:color="auto" w:fill="auto"/>
            <w:vAlign w:val="center"/>
          </w:tcPr>
          <w:p w14:paraId="6C8C26AD">
            <w:pPr>
              <w:jc w:val="center"/>
              <w:rPr>
                <w:sz w:val="18"/>
                <w:szCs w:val="18"/>
                <w:lang w:val="en-US"/>
              </w:rPr>
            </w:pPr>
            <w:r>
              <w:rPr>
                <w:sz w:val="18"/>
                <w:szCs w:val="18"/>
                <w:lang w:val="en-US"/>
              </w:rPr>
              <w:t>8</w:t>
            </w:r>
          </w:p>
        </w:tc>
        <w:tc>
          <w:tcPr>
            <w:tcW w:w="1559" w:type="dxa"/>
            <w:shd w:val="clear" w:color="auto" w:fill="auto"/>
            <w:vAlign w:val="center"/>
          </w:tcPr>
          <w:p w14:paraId="7ABFF6DD">
            <w:pPr>
              <w:jc w:val="center"/>
              <w:rPr>
                <w:sz w:val="18"/>
                <w:szCs w:val="18"/>
                <w:lang w:val="en-US"/>
              </w:rPr>
            </w:pPr>
            <w:r>
              <w:rPr>
                <w:sz w:val="18"/>
                <w:szCs w:val="18"/>
                <w:lang w:val="en-US"/>
              </w:rPr>
              <w:t>7.27</w:t>
            </w:r>
          </w:p>
        </w:tc>
        <w:tc>
          <w:tcPr>
            <w:tcW w:w="1276" w:type="dxa"/>
            <w:shd w:val="clear" w:color="auto" w:fill="auto"/>
            <w:vAlign w:val="center"/>
          </w:tcPr>
          <w:p w14:paraId="360A8303">
            <w:pPr>
              <w:jc w:val="center"/>
              <w:rPr>
                <w:sz w:val="18"/>
                <w:szCs w:val="18"/>
                <w:lang w:val="en-US"/>
              </w:rPr>
            </w:pPr>
            <w:r>
              <w:rPr>
                <w:color w:val="FF0000"/>
                <w:sz w:val="18"/>
                <w:szCs w:val="18"/>
                <w:lang w:val="en-US"/>
              </w:rPr>
              <w:t>否</w:t>
            </w:r>
          </w:p>
        </w:tc>
      </w:tr>
    </w:tbl>
    <w:p w14:paraId="1B6F609E">
      <w:pPr>
        <w:rPr>
          <w:sz w:val="18"/>
          <w:szCs w:val="18"/>
        </w:rPr>
      </w:pPr>
      <w:r>
        <w:rPr>
          <w:rFonts w:hint="eastAsia"/>
          <w:sz w:val="18"/>
          <w:szCs w:val="18"/>
          <w:lang w:val="en-US"/>
        </w:rPr>
        <w:t>说明：达标比例＝（室内外风压差大于0.5Pa的总数/可开启外窗总数）*100％</w:t>
      </w:r>
    </w:p>
    <w:p w14:paraId="3909F904">
      <w:pPr>
        <w:rPr>
          <w:lang w:val="en-US"/>
        </w:rPr>
      </w:pPr>
    </w:p>
    <w:p w14:paraId="4A1C5BF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2A99F3A">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3E0B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CE805BB">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76574CB8">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629F6C5B">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7F175833">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261C393C">
            <w:pPr>
              <w:spacing w:line="440" w:lineRule="exact"/>
              <w:jc w:val="center"/>
              <w:rPr>
                <w:sz w:val="18"/>
                <w:szCs w:val="18"/>
                <w:lang w:val="en-US"/>
              </w:rPr>
            </w:pPr>
            <w:r>
              <w:rPr>
                <w:rFonts w:hint="eastAsia"/>
                <w:sz w:val="18"/>
                <w:szCs w:val="18"/>
                <w:lang w:val="en-US"/>
              </w:rPr>
              <w:t>是否达标</w:t>
            </w:r>
          </w:p>
        </w:tc>
      </w:tr>
      <w:tr w14:paraId="68198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3E9433F">
            <w:pPr>
              <w:spacing w:line="440" w:lineRule="exact"/>
              <w:jc w:val="center"/>
              <w:rPr>
                <w:sz w:val="18"/>
                <w:szCs w:val="18"/>
                <w:lang w:val="en-US"/>
              </w:rPr>
            </w:pPr>
            <w:r>
              <w:rPr>
                <w:sz w:val="18"/>
                <w:szCs w:val="18"/>
                <w:lang w:val="en-US"/>
              </w:rPr>
              <w:t>未命名</w:t>
            </w:r>
          </w:p>
        </w:tc>
        <w:tc>
          <w:tcPr>
            <w:tcW w:w="1335" w:type="dxa"/>
            <w:vAlign w:val="center"/>
          </w:tcPr>
          <w:p w14:paraId="3B784A08">
            <w:pPr>
              <w:spacing w:line="440" w:lineRule="exact"/>
              <w:jc w:val="center"/>
              <w:rPr>
                <w:sz w:val="18"/>
                <w:szCs w:val="18"/>
                <w:lang w:val="en-US"/>
              </w:rPr>
            </w:pPr>
            <w:r>
              <w:rPr>
                <w:sz w:val="18"/>
                <w:szCs w:val="18"/>
                <w:lang w:val="en-US"/>
              </w:rPr>
              <w:t>22501.40</w:t>
            </w:r>
          </w:p>
        </w:tc>
        <w:tc>
          <w:tcPr>
            <w:tcW w:w="3484" w:type="dxa"/>
            <w:vAlign w:val="center"/>
          </w:tcPr>
          <w:p w14:paraId="6D0E8248">
            <w:pPr>
              <w:spacing w:line="440" w:lineRule="exact"/>
              <w:jc w:val="center"/>
              <w:rPr>
                <w:sz w:val="18"/>
                <w:szCs w:val="18"/>
                <w:lang w:val="en-US"/>
              </w:rPr>
            </w:pPr>
            <w:r>
              <w:rPr>
                <w:sz w:val="18"/>
                <w:szCs w:val="18"/>
                <w:lang w:val="en-US"/>
              </w:rPr>
              <w:t>1323.35</w:t>
            </w:r>
          </w:p>
        </w:tc>
        <w:tc>
          <w:tcPr>
            <w:tcW w:w="1085" w:type="dxa"/>
            <w:vAlign w:val="center"/>
          </w:tcPr>
          <w:p w14:paraId="4BE59FD8">
            <w:pPr>
              <w:spacing w:line="440" w:lineRule="exact"/>
              <w:jc w:val="center"/>
              <w:rPr>
                <w:sz w:val="18"/>
                <w:szCs w:val="18"/>
                <w:lang w:val="en-US"/>
              </w:rPr>
            </w:pPr>
            <w:r>
              <w:rPr>
                <w:sz w:val="18"/>
                <w:szCs w:val="18"/>
                <w:lang w:val="en-US"/>
              </w:rPr>
              <w:t>5.88</w:t>
            </w:r>
          </w:p>
        </w:tc>
        <w:tc>
          <w:tcPr>
            <w:tcW w:w="1042" w:type="dxa"/>
            <w:vAlign w:val="center"/>
          </w:tcPr>
          <w:p w14:paraId="135AEF9E">
            <w:pPr>
              <w:spacing w:line="440" w:lineRule="exact"/>
              <w:jc w:val="center"/>
              <w:rPr>
                <w:sz w:val="18"/>
                <w:szCs w:val="18"/>
                <w:lang w:val="en-US"/>
              </w:rPr>
            </w:pPr>
            <w:r>
              <w:rPr>
                <w:color w:val="FF0000"/>
                <w:sz w:val="18"/>
                <w:szCs w:val="18"/>
                <w:lang w:val="en-US"/>
              </w:rPr>
              <w:t>否</w:t>
            </w:r>
          </w:p>
        </w:tc>
      </w:tr>
    </w:tbl>
    <w:p w14:paraId="329AAF8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90D6A0C">
      <w:r>
        <w:rPr>
          <w:rFonts w:hint="eastAsia"/>
        </w:rPr>
        <w:t xml:space="preserve"> </w:t>
      </w:r>
      <w:bookmarkEnd w:id="26"/>
    </w:p>
    <w:p w14:paraId="77098781">
      <w:pPr>
        <w:ind w:firstLine="420"/>
        <w:rPr>
          <w:lang w:val="en-US"/>
        </w:rPr>
      </w:pPr>
      <w:r>
        <w:rPr>
          <w:rFonts w:hint="eastAsia"/>
          <w:lang w:val="en-US"/>
        </w:rPr>
        <w:t>结论：本项目中所有建筑均未满足“50%以上可开启外窗室内外表面的风压差大于0.5Pa”的要求，该条不得分。</w:t>
      </w:r>
      <w:bookmarkEnd w:id="29"/>
      <w:r>
        <w:rPr>
          <w:rFonts w:hint="eastAsia"/>
          <w:lang w:val="en-US"/>
        </w:rPr>
        <w:t xml:space="preserve"> </w:t>
      </w:r>
    </w:p>
    <w:p w14:paraId="76BFDBB7">
      <w:pPr>
        <w:rPr>
          <w:rFonts w:hint="eastAsia"/>
          <w:lang w:val="en-US"/>
        </w:rPr>
      </w:pPr>
      <w:bookmarkStart w:id="133" w:name="其他工况"/>
      <w:bookmarkEnd w:id="133"/>
      <w:r>
        <w:rPr>
          <w:rFonts w:hint="eastAsia"/>
          <w:lang w:val="en-US"/>
        </w:rPr>
        <w:t xml:space="preserve"> </w:t>
      </w:r>
    </w:p>
    <w:p w14:paraId="20CF4EEA">
      <w:pPr>
        <w:pStyle w:val="2"/>
      </w:pPr>
      <w:bookmarkStart w:id="134" w:name="_Toc509844764"/>
      <w:bookmarkStart w:id="135" w:name="_Toc15184"/>
      <w:r>
        <w:rPr>
          <w:rFonts w:hint="eastAsia"/>
        </w:rPr>
        <w:t>结论</w:t>
      </w:r>
      <w:bookmarkEnd w:id="134"/>
      <w:bookmarkEnd w:id="135"/>
    </w:p>
    <w:p w14:paraId="47ADB627">
      <w:pPr>
        <w:pStyle w:val="4"/>
      </w:pPr>
      <w:bookmarkStart w:id="136" w:name="_Toc509844765"/>
      <w:bookmarkStart w:id="137" w:name="_Toc11243"/>
      <w:r>
        <w:rPr>
          <w:rFonts w:hint="eastAsia"/>
        </w:rPr>
        <w:t>冬季工况达标判断</w:t>
      </w:r>
      <w:bookmarkEnd w:id="136"/>
      <w:bookmarkEnd w:id="137"/>
      <w:bookmarkStart w:id="138" w:name="_Toc509844766"/>
      <w:bookmarkEnd w:id="138"/>
    </w:p>
    <w:p w14:paraId="19116D4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E74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568D3EF9">
            <w:pPr>
              <w:jc w:val="center"/>
              <w:rPr>
                <w:b/>
                <w:sz w:val="18"/>
                <w:szCs w:val="18"/>
                <w:lang w:val="en-US"/>
              </w:rPr>
            </w:pPr>
            <w:r>
              <w:rPr>
                <w:rFonts w:hint="eastAsia"/>
                <w:b/>
                <w:sz w:val="18"/>
                <w:szCs w:val="18"/>
                <w:lang w:val="en-US"/>
              </w:rPr>
              <w:t>评价项目</w:t>
            </w:r>
          </w:p>
        </w:tc>
        <w:tc>
          <w:tcPr>
            <w:tcW w:w="2977" w:type="dxa"/>
            <w:shd w:val="clear" w:color="auto" w:fill="E6E6E6"/>
          </w:tcPr>
          <w:p w14:paraId="16A8EBCF">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D4CEB44">
            <w:pPr>
              <w:jc w:val="center"/>
              <w:rPr>
                <w:b/>
                <w:sz w:val="18"/>
                <w:szCs w:val="18"/>
                <w:lang w:val="en-US"/>
              </w:rPr>
            </w:pPr>
            <w:r>
              <w:rPr>
                <w:rFonts w:hint="eastAsia"/>
                <w:b/>
                <w:sz w:val="18"/>
                <w:szCs w:val="18"/>
                <w:lang w:val="en-US"/>
              </w:rPr>
              <w:t>项目计算结果</w:t>
            </w:r>
          </w:p>
        </w:tc>
        <w:tc>
          <w:tcPr>
            <w:tcW w:w="1133" w:type="dxa"/>
            <w:shd w:val="clear" w:color="auto" w:fill="E6E6E6"/>
          </w:tcPr>
          <w:p w14:paraId="34AD52E0">
            <w:pPr>
              <w:jc w:val="center"/>
              <w:rPr>
                <w:b/>
                <w:sz w:val="18"/>
                <w:szCs w:val="18"/>
                <w:lang w:val="en-US"/>
              </w:rPr>
            </w:pPr>
            <w:r>
              <w:rPr>
                <w:rFonts w:hint="eastAsia"/>
                <w:b/>
                <w:sz w:val="18"/>
                <w:szCs w:val="18"/>
                <w:lang w:val="en-US"/>
              </w:rPr>
              <w:t>达标判定</w:t>
            </w:r>
          </w:p>
        </w:tc>
        <w:tc>
          <w:tcPr>
            <w:tcW w:w="850" w:type="dxa"/>
            <w:shd w:val="clear" w:color="auto" w:fill="E6E6E6"/>
          </w:tcPr>
          <w:p w14:paraId="19175EB1">
            <w:pPr>
              <w:jc w:val="center"/>
              <w:rPr>
                <w:b/>
                <w:sz w:val="18"/>
                <w:szCs w:val="18"/>
                <w:lang w:val="en-US"/>
              </w:rPr>
            </w:pPr>
            <w:r>
              <w:rPr>
                <w:rFonts w:hint="eastAsia"/>
                <w:b/>
                <w:sz w:val="18"/>
                <w:szCs w:val="18"/>
                <w:lang w:val="en-US"/>
              </w:rPr>
              <w:t>得分</w:t>
            </w:r>
          </w:p>
        </w:tc>
      </w:tr>
      <w:tr w14:paraId="6563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91235CF">
            <w:pPr>
              <w:jc w:val="center"/>
              <w:rPr>
                <w:sz w:val="18"/>
                <w:szCs w:val="18"/>
                <w:lang w:val="en-US"/>
              </w:rPr>
            </w:pPr>
            <w:r>
              <w:rPr>
                <w:rFonts w:hint="eastAsia"/>
                <w:sz w:val="18"/>
                <w:szCs w:val="18"/>
                <w:lang w:val="en-US"/>
              </w:rPr>
              <w:t>风速</w:t>
            </w:r>
          </w:p>
        </w:tc>
        <w:tc>
          <w:tcPr>
            <w:tcW w:w="2977" w:type="dxa"/>
            <w:vMerge w:val="restart"/>
            <w:shd w:val="clear" w:color="auto" w:fill="auto"/>
          </w:tcPr>
          <w:p w14:paraId="357476F9">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4536F818">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239AFF7B">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356E34D7">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4ED6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5627199">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764699D0">
            <w:pPr>
              <w:jc w:val="center"/>
              <w:rPr>
                <w:sz w:val="18"/>
                <w:szCs w:val="18"/>
                <w:lang w:val="en-US"/>
              </w:rPr>
            </w:pPr>
          </w:p>
        </w:tc>
        <w:tc>
          <w:tcPr>
            <w:tcW w:w="1985" w:type="dxa"/>
            <w:shd w:val="clear" w:color="auto" w:fill="auto"/>
            <w:vAlign w:val="center"/>
          </w:tcPr>
          <w:p w14:paraId="7A4072AC">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09A7A5B4">
            <w:pPr>
              <w:jc w:val="center"/>
              <w:rPr>
                <w:sz w:val="18"/>
                <w:szCs w:val="18"/>
                <w:lang w:val="en-US"/>
              </w:rPr>
            </w:pPr>
          </w:p>
        </w:tc>
        <w:tc>
          <w:tcPr>
            <w:tcW w:w="850" w:type="dxa"/>
            <w:vMerge w:val="continue"/>
            <w:shd w:val="clear" w:color="auto" w:fill="auto"/>
          </w:tcPr>
          <w:p w14:paraId="770D206C">
            <w:pPr>
              <w:jc w:val="center"/>
              <w:rPr>
                <w:sz w:val="18"/>
                <w:szCs w:val="18"/>
                <w:lang w:val="en-US"/>
              </w:rPr>
            </w:pPr>
          </w:p>
        </w:tc>
      </w:tr>
      <w:tr w14:paraId="6AEE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7C5A927">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646E724C">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40FA4CEB">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339229DD">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78A891DA">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05030FC0">
      <w:pPr>
        <w:rPr>
          <w:lang w:val="en-US"/>
        </w:rPr>
      </w:pPr>
      <w:bookmarkStart w:id="148" w:name="_Toc509844767"/>
      <w:bookmarkEnd w:id="148"/>
      <w:bookmarkStart w:id="149" w:name="_Toc509844768"/>
      <w:bookmarkEnd w:id="149"/>
    </w:p>
    <w:bookmarkEnd w:id="1"/>
    <w:p w14:paraId="7FA134BA">
      <w:pPr>
        <w:pStyle w:val="4"/>
      </w:pPr>
      <w:bookmarkStart w:id="150" w:name="_Toc509844769"/>
      <w:bookmarkStart w:id="151" w:name="_Toc19635"/>
      <w:r>
        <w:rPr>
          <w:rFonts w:hint="eastAsia"/>
        </w:rPr>
        <w:t>过渡季、夏季工况达标判断</w:t>
      </w:r>
      <w:bookmarkEnd w:id="150"/>
      <w:bookmarkEnd w:id="151"/>
    </w:p>
    <w:p w14:paraId="07CD493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273C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1987615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550B593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4511D16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225FE48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38FFE84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2A32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C3C9D9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07EE17F4">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2CB82F7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color w:val="FF0000"/>
                <w:sz w:val="18"/>
                <w:szCs w:val="18"/>
                <w:lang w:val="en-US"/>
              </w:rPr>
              <w:t>有</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156F1AD9">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color w:val="FF0000"/>
                <w:sz w:val="18"/>
                <w:szCs w:val="18"/>
                <w:lang w:val="en-US"/>
              </w:rPr>
              <w:t>不达标</w:t>
            </w:r>
            <w:bookmarkEnd w:id="154"/>
          </w:p>
        </w:tc>
        <w:tc>
          <w:tcPr>
            <w:tcW w:w="992" w:type="dxa"/>
            <w:vMerge w:val="restart"/>
            <w:shd w:val="clear" w:color="auto" w:fill="auto"/>
            <w:vAlign w:val="center"/>
          </w:tcPr>
          <w:p w14:paraId="6F90CB9A">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0</w:t>
            </w:r>
            <w:bookmarkEnd w:id="155"/>
            <w:r>
              <w:rPr>
                <w:rFonts w:hint="eastAsia" w:ascii="微软雅黑" w:hAnsi="微软雅黑" w:eastAsia="微软雅黑"/>
                <w:sz w:val="18"/>
                <w:szCs w:val="18"/>
                <w:lang w:val="en-US"/>
              </w:rPr>
              <w:t>分</w:t>
            </w:r>
          </w:p>
        </w:tc>
      </w:tr>
      <w:tr w14:paraId="6026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4D8C1F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222A258B">
            <w:pPr>
              <w:jc w:val="center"/>
              <w:rPr>
                <w:rFonts w:ascii="微软雅黑" w:hAnsi="微软雅黑" w:eastAsia="微软雅黑"/>
                <w:sz w:val="18"/>
                <w:szCs w:val="18"/>
                <w:lang w:val="en-US"/>
              </w:rPr>
            </w:pPr>
          </w:p>
        </w:tc>
        <w:tc>
          <w:tcPr>
            <w:tcW w:w="2410" w:type="dxa"/>
            <w:shd w:val="clear" w:color="auto" w:fill="auto"/>
            <w:vAlign w:val="center"/>
          </w:tcPr>
          <w:p w14:paraId="5C42EC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B2BB6ED">
            <w:pPr>
              <w:jc w:val="center"/>
              <w:rPr>
                <w:rFonts w:ascii="微软雅黑" w:hAnsi="微软雅黑" w:eastAsia="微软雅黑"/>
                <w:sz w:val="18"/>
                <w:szCs w:val="18"/>
                <w:lang w:val="en-US"/>
              </w:rPr>
            </w:pPr>
          </w:p>
        </w:tc>
        <w:tc>
          <w:tcPr>
            <w:tcW w:w="992" w:type="dxa"/>
            <w:vMerge w:val="continue"/>
            <w:shd w:val="clear" w:color="auto" w:fill="auto"/>
          </w:tcPr>
          <w:p w14:paraId="1222475B">
            <w:pPr>
              <w:jc w:val="center"/>
              <w:rPr>
                <w:rFonts w:ascii="微软雅黑" w:hAnsi="微软雅黑" w:eastAsia="微软雅黑"/>
                <w:sz w:val="18"/>
                <w:szCs w:val="18"/>
                <w:lang w:val="en-US"/>
              </w:rPr>
            </w:pPr>
          </w:p>
        </w:tc>
      </w:tr>
      <w:tr w14:paraId="508A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A99CBF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7F26DB7D">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516EEF1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color w:val="FF0000"/>
                <w:sz w:val="18"/>
                <w:szCs w:val="18"/>
                <w:lang w:val="en-US"/>
              </w:rPr>
              <w:t>不满足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284F2794">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color w:val="FF0000"/>
                <w:sz w:val="18"/>
                <w:szCs w:val="18"/>
                <w:lang w:val="en-US"/>
              </w:rPr>
              <w:t>不达标</w:t>
            </w:r>
            <w:bookmarkEnd w:id="158"/>
          </w:p>
        </w:tc>
        <w:tc>
          <w:tcPr>
            <w:tcW w:w="992" w:type="dxa"/>
            <w:shd w:val="clear" w:color="auto" w:fill="auto"/>
            <w:vAlign w:val="center"/>
          </w:tcPr>
          <w:p w14:paraId="1650EB6D">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0</w:t>
            </w:r>
            <w:bookmarkEnd w:id="159"/>
            <w:r>
              <w:rPr>
                <w:rFonts w:hint="eastAsia" w:ascii="微软雅黑" w:hAnsi="微软雅黑" w:eastAsia="微软雅黑"/>
                <w:sz w:val="18"/>
                <w:szCs w:val="18"/>
                <w:lang w:val="en-US"/>
              </w:rPr>
              <w:t>分</w:t>
            </w:r>
          </w:p>
        </w:tc>
      </w:tr>
    </w:tbl>
    <w:p w14:paraId="27CFFD0F">
      <w:pPr>
        <w:rPr>
          <w:rFonts w:ascii="微软雅黑" w:hAnsi="微软雅黑" w:eastAsia="微软雅黑"/>
          <w:szCs w:val="21"/>
          <w:lang w:val="en-US"/>
        </w:rPr>
      </w:pPr>
    </w:p>
    <w:p w14:paraId="0F159F41">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5</w:t>
      </w:r>
      <w:bookmarkEnd w:id="160"/>
      <w:r>
        <w:rPr>
          <w:rFonts w:hint="eastAsia" w:ascii="微软雅黑" w:hAnsi="微软雅黑" w:eastAsia="微软雅黑"/>
          <w:lang w:val="en-US"/>
        </w:rPr>
        <w:t>分。</w:t>
      </w:r>
    </w:p>
    <w:p w14:paraId="680342D8">
      <w:pPr>
        <w:pStyle w:val="2"/>
      </w:pPr>
      <w:bookmarkStart w:id="161" w:name="_Toc20671"/>
      <w:bookmarkStart w:id="162" w:name="附录"/>
      <w:r>
        <w:rPr>
          <w:rFonts w:hint="eastAsia"/>
        </w:rPr>
        <w:t>附录</w:t>
      </w:r>
      <w:bookmarkEnd w:id="161"/>
    </w:p>
    <w:p w14:paraId="47FDC5FF">
      <w:pPr>
        <w:pStyle w:val="4"/>
        <w:rPr>
          <w:rFonts w:hint="eastAsia"/>
        </w:rPr>
      </w:pPr>
      <w:bookmarkStart w:id="163" w:name="_Toc5860"/>
      <w:r>
        <w:rPr>
          <w:rFonts w:hint="eastAsia"/>
        </w:rPr>
        <w:t>参评建筑迎背风面窗平均风压差表</w:t>
      </w:r>
      <w:bookmarkEnd w:id="163"/>
    </w:p>
    <w:p w14:paraId="24EC9FA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宿马分校食堂改造前</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17903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1A0AA98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ADA874B">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99DE88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33C0F06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AF5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E9A92EE">
            <w:pPr>
              <w:spacing w:line="400" w:lineRule="exact"/>
              <w:jc w:val="center"/>
              <w:rPr>
                <w:sz w:val="18"/>
                <w:szCs w:val="18"/>
                <w:lang w:val="en-US"/>
              </w:rPr>
            </w:pPr>
            <w:r>
              <w:rPr>
                <w:rFonts w:hint="eastAsia"/>
                <w:sz w:val="18"/>
                <w:szCs w:val="18"/>
                <w:lang w:val="en-US"/>
              </w:rPr>
              <w:t>1层</w:t>
            </w:r>
          </w:p>
        </w:tc>
        <w:tc>
          <w:tcPr>
            <w:tcW w:w="2142" w:type="dxa"/>
            <w:vAlign w:val="center"/>
          </w:tcPr>
          <w:p w14:paraId="57F72D7C">
            <w:pPr>
              <w:spacing w:line="400" w:lineRule="exact"/>
              <w:jc w:val="center"/>
              <w:rPr>
                <w:sz w:val="18"/>
                <w:szCs w:val="18"/>
                <w:lang w:val="en-US"/>
              </w:rPr>
            </w:pPr>
            <w:r>
              <w:rPr>
                <w:sz w:val="18"/>
                <w:szCs w:val="18"/>
                <w:lang w:val="en-US"/>
              </w:rPr>
              <w:t>1.60</w:t>
            </w:r>
          </w:p>
        </w:tc>
        <w:tc>
          <w:tcPr>
            <w:tcW w:w="2268" w:type="dxa"/>
            <w:vAlign w:val="center"/>
          </w:tcPr>
          <w:p w14:paraId="56EF12C0">
            <w:pPr>
              <w:spacing w:line="400" w:lineRule="exact"/>
              <w:jc w:val="center"/>
              <w:rPr>
                <w:sz w:val="18"/>
                <w:szCs w:val="18"/>
                <w:lang w:val="en-US"/>
              </w:rPr>
            </w:pPr>
            <w:r>
              <w:rPr>
                <w:sz w:val="18"/>
                <w:szCs w:val="18"/>
                <w:lang w:val="en-US"/>
              </w:rPr>
              <w:t>-0.98</w:t>
            </w:r>
          </w:p>
        </w:tc>
        <w:tc>
          <w:tcPr>
            <w:tcW w:w="2551" w:type="dxa"/>
            <w:vAlign w:val="center"/>
          </w:tcPr>
          <w:p w14:paraId="0FA0D2D7">
            <w:pPr>
              <w:spacing w:line="400" w:lineRule="exact"/>
              <w:jc w:val="center"/>
              <w:rPr>
                <w:sz w:val="18"/>
                <w:szCs w:val="18"/>
                <w:lang w:val="en-US"/>
              </w:rPr>
            </w:pPr>
            <w:r>
              <w:rPr>
                <w:sz w:val="18"/>
                <w:szCs w:val="18"/>
                <w:lang w:val="en-US"/>
              </w:rPr>
              <w:t>2.58</w:t>
            </w:r>
          </w:p>
        </w:tc>
      </w:tr>
      <w:tr w14:paraId="3AA03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58D4A2D">
            <w:pPr>
              <w:spacing w:line="400" w:lineRule="exact"/>
              <w:jc w:val="center"/>
              <w:rPr>
                <w:sz w:val="18"/>
                <w:szCs w:val="18"/>
                <w:lang w:val="en-US"/>
              </w:rPr>
            </w:pPr>
            <w:r>
              <w:rPr>
                <w:sz w:val="18"/>
                <w:szCs w:val="18"/>
                <w:lang w:val="en-US"/>
              </w:rPr>
              <w:t>2层</w:t>
            </w:r>
          </w:p>
        </w:tc>
        <w:tc>
          <w:tcPr>
            <w:tcW w:w="2142" w:type="dxa"/>
            <w:vAlign w:val="center"/>
          </w:tcPr>
          <w:p w14:paraId="5398D319">
            <w:pPr>
              <w:spacing w:line="400" w:lineRule="exact"/>
              <w:jc w:val="center"/>
              <w:rPr>
                <w:sz w:val="18"/>
                <w:szCs w:val="18"/>
                <w:lang w:val="en-US"/>
              </w:rPr>
            </w:pPr>
            <w:r>
              <w:rPr>
                <w:sz w:val="18"/>
                <w:szCs w:val="18"/>
                <w:lang w:val="en-US"/>
              </w:rPr>
              <w:t>1.44</w:t>
            </w:r>
          </w:p>
        </w:tc>
        <w:tc>
          <w:tcPr>
            <w:tcW w:w="2268" w:type="dxa"/>
            <w:vAlign w:val="center"/>
          </w:tcPr>
          <w:p w14:paraId="03030AE6">
            <w:pPr>
              <w:spacing w:line="400" w:lineRule="exact"/>
              <w:jc w:val="center"/>
              <w:rPr>
                <w:sz w:val="18"/>
                <w:szCs w:val="18"/>
                <w:lang w:val="en-US"/>
              </w:rPr>
            </w:pPr>
            <w:r>
              <w:rPr>
                <w:sz w:val="18"/>
                <w:szCs w:val="18"/>
                <w:lang w:val="en-US"/>
              </w:rPr>
              <w:t>-1.02</w:t>
            </w:r>
          </w:p>
        </w:tc>
        <w:tc>
          <w:tcPr>
            <w:tcW w:w="2551" w:type="dxa"/>
            <w:vAlign w:val="center"/>
          </w:tcPr>
          <w:p w14:paraId="47AAA042">
            <w:pPr>
              <w:spacing w:line="400" w:lineRule="exact"/>
              <w:jc w:val="center"/>
              <w:rPr>
                <w:sz w:val="18"/>
                <w:szCs w:val="18"/>
                <w:lang w:val="en-US"/>
              </w:rPr>
            </w:pPr>
            <w:r>
              <w:rPr>
                <w:sz w:val="18"/>
                <w:szCs w:val="18"/>
                <w:lang w:val="en-US"/>
              </w:rPr>
              <w:t>2.46</w:t>
            </w:r>
          </w:p>
        </w:tc>
      </w:tr>
      <w:tr w14:paraId="6E03D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F963E66">
            <w:pPr>
              <w:spacing w:line="400" w:lineRule="exact"/>
              <w:jc w:val="center"/>
              <w:rPr>
                <w:sz w:val="18"/>
                <w:szCs w:val="18"/>
                <w:lang w:val="en-US"/>
              </w:rPr>
            </w:pPr>
            <w:r>
              <w:rPr>
                <w:rFonts w:hint="eastAsia"/>
                <w:sz w:val="18"/>
                <w:szCs w:val="18"/>
                <w:lang w:val="en-US"/>
              </w:rPr>
              <w:t>3层</w:t>
            </w:r>
          </w:p>
        </w:tc>
        <w:tc>
          <w:tcPr>
            <w:tcW w:w="2142" w:type="dxa"/>
            <w:vAlign w:val="center"/>
          </w:tcPr>
          <w:p w14:paraId="5EB103B6">
            <w:pPr>
              <w:spacing w:line="400" w:lineRule="exact"/>
              <w:jc w:val="center"/>
              <w:rPr>
                <w:sz w:val="18"/>
                <w:szCs w:val="18"/>
                <w:lang w:val="en-US"/>
              </w:rPr>
            </w:pPr>
            <w:r>
              <w:rPr>
                <w:sz w:val="18"/>
                <w:szCs w:val="18"/>
                <w:lang w:val="en-US"/>
              </w:rPr>
              <w:t>2.08</w:t>
            </w:r>
          </w:p>
        </w:tc>
        <w:tc>
          <w:tcPr>
            <w:tcW w:w="2268" w:type="dxa"/>
            <w:vAlign w:val="center"/>
          </w:tcPr>
          <w:p w14:paraId="1CB8CCF7">
            <w:pPr>
              <w:spacing w:line="400" w:lineRule="exact"/>
              <w:jc w:val="center"/>
              <w:rPr>
                <w:sz w:val="18"/>
                <w:szCs w:val="18"/>
                <w:lang w:val="en-US"/>
              </w:rPr>
            </w:pPr>
            <w:r>
              <w:rPr>
                <w:sz w:val="18"/>
                <w:szCs w:val="18"/>
                <w:lang w:val="en-US"/>
              </w:rPr>
              <w:t>-1.05</w:t>
            </w:r>
          </w:p>
        </w:tc>
        <w:tc>
          <w:tcPr>
            <w:tcW w:w="2551" w:type="dxa"/>
            <w:vAlign w:val="center"/>
          </w:tcPr>
          <w:p w14:paraId="1C56BE0E">
            <w:pPr>
              <w:spacing w:line="400" w:lineRule="exact"/>
              <w:jc w:val="center"/>
              <w:rPr>
                <w:sz w:val="18"/>
                <w:szCs w:val="18"/>
                <w:lang w:val="en-US"/>
              </w:rPr>
            </w:pPr>
            <w:r>
              <w:rPr>
                <w:sz w:val="18"/>
                <w:szCs w:val="18"/>
                <w:lang w:val="en-US"/>
              </w:rPr>
              <w:t>3.13</w:t>
            </w:r>
          </w:p>
        </w:tc>
      </w:tr>
      <w:tr w14:paraId="1E6C7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F937BE">
            <w:pPr>
              <w:spacing w:line="400" w:lineRule="exact"/>
              <w:jc w:val="center"/>
              <w:rPr>
                <w:sz w:val="18"/>
                <w:szCs w:val="18"/>
                <w:lang w:val="en-US"/>
              </w:rPr>
            </w:pPr>
            <w:r>
              <w:rPr>
                <w:rFonts w:hint="eastAsia"/>
                <w:sz w:val="18"/>
                <w:szCs w:val="18"/>
                <w:lang w:val="en-US"/>
              </w:rPr>
              <w:t>整楼</w:t>
            </w:r>
          </w:p>
        </w:tc>
        <w:tc>
          <w:tcPr>
            <w:tcW w:w="2142" w:type="dxa"/>
            <w:vAlign w:val="center"/>
          </w:tcPr>
          <w:p w14:paraId="0F9434F9">
            <w:pPr>
              <w:spacing w:line="400" w:lineRule="exact"/>
              <w:jc w:val="center"/>
              <w:rPr>
                <w:sz w:val="18"/>
                <w:szCs w:val="18"/>
                <w:lang w:val="en-US"/>
              </w:rPr>
            </w:pPr>
            <w:r>
              <w:rPr>
                <w:sz w:val="18"/>
                <w:szCs w:val="18"/>
                <w:lang w:val="en-US"/>
              </w:rPr>
              <w:t>1.72</w:t>
            </w:r>
          </w:p>
        </w:tc>
        <w:tc>
          <w:tcPr>
            <w:tcW w:w="2268" w:type="dxa"/>
            <w:vAlign w:val="center"/>
          </w:tcPr>
          <w:p w14:paraId="0F2494BC">
            <w:pPr>
              <w:spacing w:line="400" w:lineRule="exact"/>
              <w:jc w:val="center"/>
              <w:rPr>
                <w:sz w:val="18"/>
                <w:szCs w:val="18"/>
                <w:lang w:val="en-US"/>
              </w:rPr>
            </w:pPr>
            <w:r>
              <w:rPr>
                <w:sz w:val="18"/>
                <w:szCs w:val="18"/>
                <w:lang w:val="en-US"/>
              </w:rPr>
              <w:t>-1.01</w:t>
            </w:r>
          </w:p>
        </w:tc>
        <w:tc>
          <w:tcPr>
            <w:tcW w:w="2551" w:type="dxa"/>
            <w:vAlign w:val="center"/>
          </w:tcPr>
          <w:p w14:paraId="1466800C">
            <w:pPr>
              <w:spacing w:line="400" w:lineRule="exact"/>
              <w:jc w:val="center"/>
              <w:rPr>
                <w:sz w:val="18"/>
                <w:szCs w:val="18"/>
                <w:lang w:val="en-US"/>
              </w:rPr>
            </w:pPr>
            <w:r>
              <w:rPr>
                <w:sz w:val="18"/>
                <w:szCs w:val="18"/>
                <w:lang w:val="en-US"/>
              </w:rPr>
              <w:t>2.73</w:t>
            </w:r>
          </w:p>
        </w:tc>
      </w:tr>
      <w:bookmarkEnd w:id="0"/>
    </w:tbl>
    <w:p w14:paraId="1913B538">
      <w:bookmarkStart w:id="165" w:name="结论"/>
      <w:bookmarkEnd w:id="165"/>
    </w:p>
    <w:p w14:paraId="557EA8C6">
      <w:pPr>
        <w:pStyle w:val="3"/>
        <w:ind w:firstLine="420"/>
        <w:rPr>
          <w:rFonts w:hint="eastAsia" w:ascii="微软雅黑" w:hAnsi="微软雅黑" w:eastAsia="微软雅黑"/>
          <w:lang w:val="en-US"/>
        </w:rPr>
      </w:pPr>
      <w:bookmarkStart w:id="166" w:name="迎风建筑信息参评"/>
      <w:bookmarkEnd w:id="166"/>
    </w:p>
    <w:p w14:paraId="6478ADAF">
      <w:pPr>
        <w:pStyle w:val="4"/>
        <w:rPr>
          <w:rFonts w:hint="eastAsia"/>
        </w:rPr>
      </w:pPr>
      <w:bookmarkStart w:id="167" w:name="_Toc32076"/>
      <w:r>
        <w:rPr>
          <w:rFonts w:hint="eastAsia"/>
        </w:rPr>
        <w:t>不参评建筑迎背风面窗平均风压差表</w:t>
      </w:r>
      <w:bookmarkEnd w:id="167"/>
    </w:p>
    <w:p w14:paraId="078AD533">
      <w:pPr>
        <w:pStyle w:val="3"/>
        <w:ind w:firstLine="420"/>
        <w:rPr>
          <w:rFonts w:hint="eastAsia" w:ascii="微软雅黑" w:hAnsi="微软雅黑" w:eastAsia="微软雅黑"/>
          <w:lang w:val="en-US"/>
        </w:rPr>
      </w:pPr>
      <w:bookmarkStart w:id="168" w:name="迎风建筑信息不参评"/>
      <w:bookmarkEnd w:id="168"/>
    </w:p>
    <w:bookmarkEnd w:id="162"/>
    <w:p w14:paraId="4D3878CE">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DA02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E86E106">
          <w:pPr>
            <w:pStyle w:val="17"/>
            <w:spacing w:line="360" w:lineRule="exact"/>
            <w:rPr>
              <w:rFonts w:hint="eastAsia"/>
              <w:sz w:val="20"/>
              <w:szCs w:val="21"/>
            </w:rPr>
          </w:pPr>
        </w:p>
      </w:tc>
      <w:tc>
        <w:tcPr>
          <w:tcW w:w="2841" w:type="dxa"/>
        </w:tcPr>
        <w:p w14:paraId="5306A60B">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D5E8AD0">
          <w:pPr>
            <w:pStyle w:val="17"/>
            <w:spacing w:line="360" w:lineRule="exact"/>
            <w:jc w:val="right"/>
            <w:rPr>
              <w:rFonts w:hint="eastAsia"/>
              <w:sz w:val="20"/>
              <w:szCs w:val="21"/>
            </w:rPr>
          </w:pPr>
        </w:p>
      </w:tc>
    </w:tr>
  </w:tbl>
  <w:p w14:paraId="3996155F">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CBE44">
    <w:pPr>
      <w:pStyle w:val="17"/>
      <w:jc w:val="center"/>
      <w:rPr>
        <w:rFonts w:hint="eastAsia" w:asciiTheme="minorEastAsia" w:hAnsiTheme="minorEastAsia" w:eastAsiaTheme="minorEastAsia"/>
        <w:szCs w:val="21"/>
      </w:rPr>
    </w:pPr>
  </w:p>
  <w:p w14:paraId="3F9C7B30">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6CC31">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59894">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1D6116"/>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24CF1E67"/>
    <w:rsid w:val="661D61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2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tmp125.dotx</Template>
  <Pages>31</Pages>
  <Words>7690</Words>
  <Characters>8748</Characters>
  <Lines>47</Lines>
  <Paragraphs>13</Paragraphs>
  <TotalTime>0</TotalTime>
  <ScaleCrop>false</ScaleCrop>
  <LinksUpToDate>false</LinksUpToDate>
  <CharactersWithSpaces>11018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2026-04-14T09:12:00Z</dcterms:created>
  <dc:creator>Administrator</dc:creator>
  <cp:lastModifiedBy>Administrator</cp:lastModifiedBy>
  <dcterms:modified xsi:type="dcterms:W3CDTF">2026-04-14T09:12:09Z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9374F9D7B00F4692AE39FAD4BB6D4D82_11</vt:lpwstr>
  </property>
  <property fmtid="{D5CDD505-2E9C-101B-9397-08002B2CF9AE}" pid="4" name="KSOTemplateDocerSaveRecord">
    <vt:lpwstr>eyJoZGlkIjoiMzg2ZGM5YzBmOGM2ZGYzZTg1NDY2ZTQ1ZGU2YmQ4MzMiLCJ1c2VySWQiOiIzMTM1OTY0ODUifQ==</vt:lpwstr>
  </property>
</Properties>
</file>