
<file path=[Content_Types].xml><?xml version="1.0" encoding="utf-8"?>
<Types xmlns="http://schemas.openxmlformats.org/package/2006/content-types">
  <Default Extension="jpeg" ContentType="image/jpeg"/>
  <Default Extension="JPG" ContentType="image/.jpg"/>
  <Default Extension="bmp" ContentType="image/bmp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FE0C44"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59" w:name="_GoBack"/>
      <w:bookmarkEnd w:id="59"/>
    </w:p>
    <w:tbl>
      <w:tblPr>
        <w:tblStyle w:val="2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0"/>
      </w:tblGrid>
      <w:tr w14:paraId="43E58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9070" w:type="dxa"/>
            <w:vAlign w:val="center"/>
          </w:tcPr>
          <w:p w14:paraId="4E81A16D">
            <w:pPr>
              <w:widowControl w:val="0"/>
              <w:spacing w:before="468" w:beforeLines="150"/>
              <w:jc w:val="center"/>
              <w:rPr>
                <w:rFonts w:ascii="微软雅黑" w:hAnsi="微软雅黑" w:eastAsia="微软雅黑"/>
                <w:b/>
                <w:bCs/>
                <w:kern w:val="0"/>
                <w:sz w:val="72"/>
                <w:szCs w:val="52"/>
              </w:rPr>
            </w:pPr>
            <w:r>
              <w:rPr>
                <w:rFonts w:hint="eastAsia" w:ascii="宋体" w:hAnsi="宋体" w:eastAsia="等线"/>
                <w:b/>
                <w:bCs/>
                <w:kern w:val="2"/>
                <w:sz w:val="32"/>
                <w:szCs w:val="32"/>
              </w:rPr>
              <w:br w:type="page"/>
            </w:r>
            <w:bookmarkStart w:id="0" w:name="_Hlk172642859"/>
            <w:r>
              <w:rPr>
                <w:rFonts w:hint="eastAsia" w:ascii="微软雅黑" w:hAnsi="微软雅黑" w:eastAsia="微软雅黑"/>
                <w:b/>
                <w:bCs/>
                <w:spacing w:val="80"/>
                <w:kern w:val="0"/>
                <w:sz w:val="72"/>
                <w:szCs w:val="52"/>
                <w:fitText w:val="8640" w:id="-940382463"/>
              </w:rPr>
              <w:t>住区热环境设计报告</w:t>
            </w:r>
            <w:r>
              <w:rPr>
                <w:rFonts w:hint="eastAsia" w:ascii="微软雅黑" w:hAnsi="微软雅黑" w:eastAsia="微软雅黑"/>
                <w:b/>
                <w:bCs/>
                <w:spacing w:val="0"/>
                <w:kern w:val="0"/>
                <w:sz w:val="72"/>
                <w:szCs w:val="52"/>
                <w:fitText w:val="8640" w:id="-940382463"/>
              </w:rPr>
              <w:t>书</w:t>
            </w:r>
          </w:p>
          <w:p w14:paraId="6E295D19">
            <w:pPr>
              <w:widowControl w:val="0"/>
              <w:jc w:val="center"/>
              <w:rPr>
                <w:rFonts w:ascii="微软雅黑" w:hAnsi="微软雅黑" w:eastAsia="微软雅黑"/>
                <w:b/>
                <w:bCs/>
                <w:kern w:val="2"/>
                <w:sz w:val="5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2"/>
                <w:sz w:val="52"/>
                <w:szCs w:val="52"/>
              </w:rPr>
              <w:t>（规定性设计）</w:t>
            </w:r>
          </w:p>
        </w:tc>
      </w:tr>
      <w:tr w14:paraId="3E1A5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0" w:type="dxa"/>
          </w:tcPr>
          <w:p w14:paraId="571790C9">
            <w:pPr>
              <w:widowControl w:val="0"/>
              <w:tabs>
                <w:tab w:val="left" w:pos="1813"/>
                <w:tab w:val="center" w:pos="4048"/>
              </w:tabs>
              <w:spacing w:before="312" w:beforeLines="100"/>
              <w:jc w:val="center"/>
              <w:rPr>
                <w:rFonts w:ascii="微软雅黑" w:hAnsi="微软雅黑" w:eastAsia="微软雅黑"/>
                <w:b/>
                <w:kern w:val="2"/>
                <w:sz w:val="36"/>
                <w:szCs w:val="36"/>
                <w:lang w:val="en-US"/>
              </w:rPr>
            </w:pPr>
            <w:bookmarkStart w:id="1" w:name="项目名称"/>
            <w:bookmarkEnd w:id="1"/>
          </w:p>
        </w:tc>
      </w:tr>
      <w:bookmarkEnd w:id="0"/>
      <w:tr w14:paraId="1C230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0" w:type="dxa"/>
          </w:tcPr>
          <w:p w14:paraId="1418F2B0">
            <w:pPr>
              <w:widowControl w:val="0"/>
              <w:jc w:val="center"/>
              <w:rPr>
                <w:rFonts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r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  <w:t>设计编号：</w:t>
            </w:r>
            <w:bookmarkStart w:id="2" w:name="设计编号"/>
            <w:bookmarkEnd w:id="2"/>
          </w:p>
        </w:tc>
      </w:tr>
      <w:tr w14:paraId="40C35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0" w:type="dxa"/>
          </w:tcPr>
          <w:p w14:paraId="072F685D">
            <w:pPr>
              <w:widowControl w:val="0"/>
              <w:jc w:val="center"/>
              <w:rPr>
                <w:rFonts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bookmarkStart w:id="3" w:name="二维码"/>
            <w:bookmarkEnd w:id="3"/>
          </w:p>
        </w:tc>
      </w:tr>
    </w:tbl>
    <w:p w14:paraId="22336F51">
      <w:pPr>
        <w:widowControl w:val="0"/>
        <w:jc w:val="center"/>
        <w:rPr>
          <w:rFonts w:ascii="等线" w:hAnsi="等线" w:eastAsia="等线"/>
          <w:kern w:val="2"/>
          <w:szCs w:val="22"/>
          <w:lang w:val="en-US"/>
        </w:rPr>
      </w:pPr>
      <w:r>
        <w:drawing>
          <wp:inline distT="0" distB="0" distL="0" distR="0">
            <wp:extent cx="1009650" cy="1009650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EAED97">
      <w:pPr>
        <w:widowControl w:val="0"/>
        <w:jc w:val="center"/>
        <w:rPr>
          <w:rFonts w:ascii="等线" w:hAnsi="等线" w:eastAsia="等线"/>
          <w:kern w:val="2"/>
          <w:szCs w:val="22"/>
          <w:lang w:val="en-US"/>
        </w:rPr>
      </w:pPr>
    </w:p>
    <w:p w14:paraId="2A424AA6">
      <w:pPr>
        <w:widowControl w:val="0"/>
        <w:jc w:val="both"/>
        <w:rPr>
          <w:rFonts w:ascii="等线" w:hAnsi="等线" w:eastAsia="等线"/>
          <w:kern w:val="2"/>
          <w:szCs w:val="22"/>
          <w:lang w:val="en-US"/>
        </w:rPr>
      </w:pPr>
    </w:p>
    <w:p w14:paraId="4C367C13">
      <w:pPr>
        <w:widowControl w:val="0"/>
        <w:jc w:val="both"/>
        <w:rPr>
          <w:rFonts w:ascii="等线" w:hAnsi="等线" w:eastAsia="等线"/>
          <w:kern w:val="2"/>
          <w:szCs w:val="22"/>
          <w:lang w:val="en-US"/>
        </w:rPr>
      </w:pPr>
    </w:p>
    <w:tbl>
      <w:tblPr>
        <w:tblStyle w:val="28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4BF49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142C077">
            <w:pPr>
              <w:widowControl w:val="0"/>
              <w:spacing w:line="600" w:lineRule="exact"/>
              <w:jc w:val="distribute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58DE6DB8">
            <w:pPr>
              <w:widowControl w:val="0"/>
              <w:spacing w:line="600" w:lineRule="exact"/>
              <w:jc w:val="both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68241989">
            <w:pPr>
              <w:widowControl w:val="0"/>
              <w:spacing w:line="600" w:lineRule="exact"/>
              <w:jc w:val="center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4" w:name="地理位置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西安</w:t>
            </w:r>
            <w:bookmarkEnd w:id="4"/>
          </w:p>
        </w:tc>
      </w:tr>
      <w:tr w14:paraId="78AF1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01C3D34E">
            <w:pPr>
              <w:widowControl w:val="0"/>
              <w:spacing w:line="600" w:lineRule="exact"/>
              <w:jc w:val="distribute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508E15C0">
            <w:pPr>
              <w:widowControl w:val="0"/>
              <w:spacing w:line="600" w:lineRule="exact"/>
              <w:jc w:val="both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75E54C5A">
            <w:pPr>
              <w:widowControl w:val="0"/>
              <w:spacing w:line="600" w:lineRule="exact"/>
              <w:jc w:val="center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5" w:name="建设单位"/>
            <w:bookmarkEnd w:id="5"/>
          </w:p>
        </w:tc>
      </w:tr>
      <w:tr w14:paraId="6A24D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FCE27B6">
            <w:pPr>
              <w:widowControl w:val="0"/>
              <w:spacing w:line="600" w:lineRule="exact"/>
              <w:jc w:val="distribute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52D662A2">
            <w:pPr>
              <w:widowControl w:val="0"/>
              <w:spacing w:line="600" w:lineRule="exact"/>
              <w:jc w:val="both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0592C1E3">
            <w:pPr>
              <w:widowControl w:val="0"/>
              <w:spacing w:line="600" w:lineRule="exact"/>
              <w:jc w:val="center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6" w:name="设计单位"/>
            <w:bookmarkEnd w:id="6"/>
          </w:p>
        </w:tc>
      </w:tr>
      <w:tr w14:paraId="42F3D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354845A">
            <w:pPr>
              <w:widowControl w:val="0"/>
              <w:spacing w:line="600" w:lineRule="exact"/>
              <w:jc w:val="distribute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7C663C85">
            <w:pPr>
              <w:widowControl w:val="0"/>
              <w:spacing w:line="600" w:lineRule="exact"/>
              <w:jc w:val="both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792CB39F">
            <w:pPr>
              <w:widowControl w:val="0"/>
              <w:spacing w:line="600" w:lineRule="exact"/>
              <w:jc w:val="center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75516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097024E">
            <w:pPr>
              <w:widowControl w:val="0"/>
              <w:spacing w:line="600" w:lineRule="exact"/>
              <w:jc w:val="distribute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5C403F4E">
            <w:pPr>
              <w:widowControl w:val="0"/>
              <w:spacing w:line="600" w:lineRule="exact"/>
              <w:jc w:val="both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7C96C6D">
            <w:pPr>
              <w:widowControl w:val="0"/>
              <w:spacing w:line="600" w:lineRule="exact"/>
              <w:jc w:val="center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5AE0E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F685B4C">
            <w:pPr>
              <w:widowControl w:val="0"/>
              <w:spacing w:line="600" w:lineRule="exact"/>
              <w:jc w:val="distribute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71836386">
            <w:pPr>
              <w:widowControl w:val="0"/>
              <w:spacing w:line="600" w:lineRule="exact"/>
              <w:jc w:val="both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588E019E">
            <w:pPr>
              <w:widowControl w:val="0"/>
              <w:spacing w:line="600" w:lineRule="exact"/>
              <w:jc w:val="center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6DBAD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0016D00B">
            <w:pPr>
              <w:widowControl w:val="0"/>
              <w:spacing w:line="600" w:lineRule="exact"/>
              <w:jc w:val="distribute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0637EF05">
            <w:pPr>
              <w:widowControl w:val="0"/>
              <w:spacing w:line="600" w:lineRule="exact"/>
              <w:jc w:val="both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AD94F10">
            <w:pPr>
              <w:widowControl w:val="0"/>
              <w:spacing w:line="600" w:lineRule="exact"/>
              <w:jc w:val="center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7" w:name="报告日期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</w:rPr>
              <w:t>2026年1月4日</w:t>
            </w:r>
            <w:bookmarkEnd w:id="7"/>
          </w:p>
        </w:tc>
      </w:tr>
    </w:tbl>
    <w:p w14:paraId="34816261">
      <w:pPr>
        <w:widowControl w:val="0"/>
        <w:jc w:val="both"/>
        <w:rPr>
          <w:rFonts w:ascii="等线" w:hAnsi="等线" w:eastAsia="等线"/>
          <w:kern w:val="2"/>
          <w:szCs w:val="22"/>
          <w:lang w:val="en-US"/>
        </w:rPr>
      </w:pPr>
    </w:p>
    <w:p w14:paraId="62E6AB73">
      <w:pPr>
        <w:widowControl w:val="0"/>
        <w:jc w:val="both"/>
        <w:rPr>
          <w:rFonts w:ascii="等线" w:hAnsi="等线" w:eastAsia="等线"/>
          <w:kern w:val="2"/>
          <w:szCs w:val="22"/>
          <w:lang w:val="en-US"/>
        </w:rPr>
      </w:pPr>
    </w:p>
    <w:tbl>
      <w:tblPr>
        <w:tblStyle w:val="28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5511361E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464C5955">
            <w:pPr>
              <w:spacing w:before="156" w:beforeLines="50" w:line="180" w:lineRule="exact"/>
              <w:jc w:val="distribute"/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7A0BE3B3">
            <w:pPr>
              <w:spacing w:line="180" w:lineRule="exact"/>
              <w:ind w:left="-34" w:leftChars="-16" w:right="-105" w:rightChars="-50"/>
              <w:jc w:val="both"/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: </w:t>
            </w:r>
            <w:bookmarkStart w:id="8" w:name="软件全称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住区热环境TERA2025</w:t>
            </w:r>
            <w:bookmarkEnd w:id="8"/>
          </w:p>
        </w:tc>
        <w:tc>
          <w:tcPr>
            <w:tcW w:w="3958" w:type="dxa"/>
            <w:vMerge w:val="restart"/>
            <w:vAlign w:val="bottom"/>
          </w:tcPr>
          <w:p w14:paraId="352B315B">
            <w:pPr>
              <w:spacing w:line="180" w:lineRule="exact"/>
              <w:ind w:left="-246" w:leftChars="-117"/>
              <w:jc w:val="right"/>
              <w:rPr>
                <w:rFonts w:ascii="等线" w:hAnsi="等线" w:eastAsia="等线"/>
                <w:color w:val="767171"/>
                <w:kern w:val="2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Cs w:val="22"/>
                <w:lang w:val="en-US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20F140E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1055F05F">
            <w:pPr>
              <w:spacing w:line="180" w:lineRule="exact"/>
              <w:jc w:val="distribute"/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4BF32D53">
            <w:pPr>
              <w:spacing w:line="180" w:lineRule="exact"/>
              <w:ind w:left="-34" w:leftChars="-16"/>
              <w:jc w:val="both"/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9" w:name="软件版本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20250101(SP1)</w:t>
            </w:r>
            <w:bookmarkEnd w:id="9"/>
          </w:p>
        </w:tc>
        <w:tc>
          <w:tcPr>
            <w:tcW w:w="3958" w:type="dxa"/>
            <w:vMerge w:val="continue"/>
          </w:tcPr>
          <w:p w14:paraId="4B1EA790">
            <w:pPr>
              <w:spacing w:line="180" w:lineRule="exact"/>
              <w:rPr>
                <w:rFonts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4BFA273A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478147A2">
            <w:pPr>
              <w:spacing w:line="180" w:lineRule="exact"/>
              <w:jc w:val="distribute"/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45A5F714">
            <w:pPr>
              <w:spacing w:line="180" w:lineRule="exact"/>
              <w:ind w:left="-34" w:leftChars="-16"/>
              <w:jc w:val="both"/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10" w:name="加密锁号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SP110C85A1</w:t>
            </w:r>
            <w:bookmarkEnd w:id="10"/>
          </w:p>
        </w:tc>
        <w:tc>
          <w:tcPr>
            <w:tcW w:w="3958" w:type="dxa"/>
            <w:vMerge w:val="continue"/>
          </w:tcPr>
          <w:p w14:paraId="0B04A352">
            <w:pPr>
              <w:spacing w:line="180" w:lineRule="exact"/>
              <w:rPr>
                <w:rFonts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5BCDF402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56BFBCE0">
            <w:pPr>
              <w:spacing w:line="180" w:lineRule="exact"/>
              <w:jc w:val="distribute"/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14BDD14B">
            <w:pPr>
              <w:spacing w:line="180" w:lineRule="exact"/>
              <w:ind w:left="-34" w:leftChars="-16"/>
              <w:jc w:val="both"/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5112DDA5">
            <w:pPr>
              <w:spacing w:line="180" w:lineRule="exact"/>
              <w:rPr>
                <w:rFonts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</w:tbl>
    <w:p w14:paraId="26F05B51">
      <w:pPr>
        <w:rPr>
          <w:sz w:val="18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284" w:left="1418" w:header="851" w:footer="992" w:gutter="0"/>
          <w:cols w:space="720" w:num="1"/>
          <w:titlePg/>
          <w:docGrid w:type="lines" w:linePitch="312" w:charSpace="0"/>
        </w:sectPr>
      </w:pPr>
    </w:p>
    <w:p w14:paraId="5F501C7F">
      <w:pPr>
        <w:tabs>
          <w:tab w:val="left" w:pos="3452"/>
        </w:tabs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1F621A6B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2B99964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bookmarkStart w:id="11" w:name="目录"/>
      <w:bookmarkEnd w:id="11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_Toc16145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住区概况</w:t>
      </w:r>
      <w:r>
        <w:tab/>
      </w:r>
      <w:r>
        <w:fldChar w:fldCharType="begin"/>
      </w:r>
      <w:r>
        <w:instrText xml:space="preserve"> PAGEREF _Toc16145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364DCE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_Toc7244 </w:instrText>
      </w:r>
      <w: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_Toc7244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63041F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_Toc25702 </w:instrText>
      </w:r>
      <w:r>
        <w:fldChar w:fldCharType="separate"/>
      </w:r>
      <w:r>
        <w:rPr>
          <w:rFonts w:hint="eastAsia"/>
        </w:rPr>
        <w:t>3 计算规定</w:t>
      </w:r>
      <w:r>
        <w:tab/>
      </w:r>
      <w:r>
        <w:fldChar w:fldCharType="begin"/>
      </w:r>
      <w:r>
        <w:instrText xml:space="preserve"> PAGEREF _Toc25702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5B9890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_Toc15336 </w:instrText>
      </w:r>
      <w:r>
        <w:fldChar w:fldCharType="separate"/>
      </w:r>
      <w:r>
        <w:rPr>
          <w:rFonts w:hint="eastAsia"/>
          <w:lang w:val="en-GB"/>
        </w:rPr>
        <w:t xml:space="preserve">3.1 </w:t>
      </w:r>
      <w:r>
        <w:rPr>
          <w:rFonts w:hint="eastAsia"/>
        </w:rPr>
        <w:t>强制条文</w:t>
      </w:r>
      <w:r>
        <w:tab/>
      </w:r>
      <w:r>
        <w:fldChar w:fldCharType="begin"/>
      </w:r>
      <w:r>
        <w:instrText xml:space="preserve"> PAGEREF _Toc15336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7FCE0E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_Toc30813 </w:instrText>
      </w:r>
      <w:r>
        <w:fldChar w:fldCharType="separate"/>
      </w:r>
      <w:r>
        <w:rPr>
          <w:rFonts w:hint="eastAsia"/>
          <w:lang w:val="en-GB"/>
        </w:rPr>
        <w:t xml:space="preserve">3.2 </w:t>
      </w:r>
      <w:r>
        <w:rPr>
          <w:rFonts w:hint="eastAsia"/>
        </w:rPr>
        <w:t>规定性设计</w:t>
      </w:r>
      <w:r>
        <w:tab/>
      </w:r>
      <w:r>
        <w:fldChar w:fldCharType="begin"/>
      </w:r>
      <w:r>
        <w:instrText xml:space="preserve"> PAGEREF _Toc30813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DEBEB0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_Toc17087 </w:instrText>
      </w:r>
      <w:r>
        <w:fldChar w:fldCharType="separate"/>
      </w:r>
      <w:r>
        <w:rPr>
          <w:rFonts w:hint="eastAsia"/>
        </w:rPr>
        <w:t>4 计算参数</w:t>
      </w:r>
      <w:r>
        <w:tab/>
      </w:r>
      <w:r>
        <w:fldChar w:fldCharType="begin"/>
      </w:r>
      <w:r>
        <w:instrText xml:space="preserve"> PAGEREF _Toc17087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A81E9A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_Toc19016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典型气象日气象参数</w:t>
      </w:r>
      <w:r>
        <w:tab/>
      </w:r>
      <w:r>
        <w:fldChar w:fldCharType="begin"/>
      </w:r>
      <w:r>
        <w:instrText xml:space="preserve"> PAGEREF _Toc19016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D0672E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_Toc3538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渗透面夏季逐时蒸发量</w:t>
      </w:r>
      <w:r>
        <w:tab/>
      </w:r>
      <w:r>
        <w:fldChar w:fldCharType="begin"/>
      </w:r>
      <w:r>
        <w:instrText xml:space="preserve"> PAGEREF _Toc3538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78E5583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_Toc18994 </w:instrText>
      </w:r>
      <w:r>
        <w:fldChar w:fldCharType="separate"/>
      </w:r>
      <w:r>
        <w:rPr>
          <w:rFonts w:hint="eastAsia"/>
        </w:rPr>
        <w:t>5 住区指标概览</w:t>
      </w:r>
      <w:r>
        <w:tab/>
      </w:r>
      <w:r>
        <w:fldChar w:fldCharType="begin"/>
      </w:r>
      <w:r>
        <w:instrText xml:space="preserve"> PAGEREF _Toc18994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406B610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_Toc32717 </w:instrText>
      </w:r>
      <w:r>
        <w:fldChar w:fldCharType="separate"/>
      </w:r>
      <w:r>
        <w:rPr>
          <w:rFonts w:hint="eastAsia"/>
        </w:rPr>
        <w:t>6 强制性</w:t>
      </w:r>
      <w:r>
        <w:t>设计指标</w:t>
      </w:r>
      <w:r>
        <w:tab/>
      </w:r>
      <w:r>
        <w:fldChar w:fldCharType="begin"/>
      </w:r>
      <w:r>
        <w:instrText xml:space="preserve"> PAGEREF _Toc32717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4FA608B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_Toc24505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rPr>
          <w:rFonts w:hint="eastAsia"/>
        </w:rPr>
        <w:t>平均迎风面积比</w:t>
      </w:r>
      <w:r>
        <w:tab/>
      </w:r>
      <w:r>
        <w:fldChar w:fldCharType="begin"/>
      </w:r>
      <w:r>
        <w:instrText xml:space="preserve"> PAGEREF _Toc24505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38FEF8A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_Toc15084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rPr>
          <w:rFonts w:hint="eastAsia"/>
        </w:rPr>
        <w:t>活动场地遮阳覆盖率</w:t>
      </w:r>
      <w:r>
        <w:tab/>
      </w:r>
      <w:r>
        <w:fldChar w:fldCharType="begin"/>
      </w:r>
      <w:r>
        <w:instrText xml:space="preserve"> PAGEREF _Toc15084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12AC554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_Toc222 </w:instrText>
      </w:r>
      <w:r>
        <w:fldChar w:fldCharType="separate"/>
      </w:r>
      <w:r>
        <w:rPr>
          <w:rFonts w:hint="eastAsia"/>
        </w:rPr>
        <w:t>7 规定性设计指标</w:t>
      </w:r>
      <w:r>
        <w:tab/>
      </w:r>
      <w:r>
        <w:fldChar w:fldCharType="begin"/>
      </w:r>
      <w:r>
        <w:instrText xml:space="preserve"> PAGEREF _Toc222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DC3759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_Toc3866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rPr>
          <w:rFonts w:hint="eastAsia"/>
        </w:rPr>
        <w:t>底层通风架空率</w:t>
      </w:r>
      <w:r>
        <w:tab/>
      </w:r>
      <w:r>
        <w:fldChar w:fldCharType="begin"/>
      </w:r>
      <w:r>
        <w:instrText xml:space="preserve"> PAGEREF _Toc3866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2893D7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_Toc20511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rPr>
          <w:rFonts w:hint="eastAsia"/>
        </w:rPr>
        <w:t>绿化遮阳体叶面积指数</w:t>
      </w:r>
      <w:r>
        <w:tab/>
      </w:r>
      <w:r>
        <w:fldChar w:fldCharType="begin"/>
      </w:r>
      <w:r>
        <w:instrText xml:space="preserve"> PAGEREF _Toc20511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82FE22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_Toc26132 </w:instrText>
      </w:r>
      <w:r>
        <w:fldChar w:fldCharType="separate"/>
      </w:r>
      <w:r>
        <w:rPr>
          <w:rFonts w:hint="eastAsia"/>
          <w:lang w:val="en-GB"/>
        </w:rPr>
        <w:t xml:space="preserve">7.3 </w:t>
      </w:r>
      <w:r>
        <w:rPr>
          <w:rFonts w:hint="eastAsia"/>
        </w:rPr>
        <w:t>渗透蒸发指标</w:t>
      </w:r>
      <w:r>
        <w:tab/>
      </w:r>
      <w:r>
        <w:fldChar w:fldCharType="begin"/>
      </w:r>
      <w:r>
        <w:instrText xml:space="preserve"> PAGEREF _Toc26132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3525C80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_Toc1175 </w:instrText>
      </w:r>
      <w:r>
        <w:fldChar w:fldCharType="separate"/>
      </w:r>
      <w:r>
        <w:rPr>
          <w:rFonts w:hint="eastAsia"/>
          <w:lang w:val="en-GB"/>
        </w:rPr>
        <w:t xml:space="preserve">7.4 </w:t>
      </w:r>
      <w:r>
        <w:rPr>
          <w:rFonts w:hint="eastAsia"/>
        </w:rPr>
        <w:t>屋面绿化率</w:t>
      </w:r>
      <w:r>
        <w:tab/>
      </w:r>
      <w:r>
        <w:fldChar w:fldCharType="begin"/>
      </w:r>
      <w:r>
        <w:instrText xml:space="preserve"> PAGEREF _Toc1175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2940EFD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_Toc1427 </w:instrText>
      </w:r>
      <w:r>
        <w:fldChar w:fldCharType="separate"/>
      </w:r>
      <w:r>
        <w:rPr>
          <w:rFonts w:hint="eastAsia"/>
        </w:rPr>
        <w:t>8 结论</w:t>
      </w:r>
      <w:r>
        <w:tab/>
      </w:r>
      <w:r>
        <w:fldChar w:fldCharType="begin"/>
      </w:r>
      <w:r>
        <w:instrText xml:space="preserve"> PAGEREF _Toc1427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4188E224">
      <w:pPr>
        <w:pStyle w:val="16"/>
        <w:sectPr>
          <w:headerReference r:id="rId7" w:type="first"/>
          <w:headerReference r:id="rId6" w:type="default"/>
          <w:footerReference r:id="rId8" w:type="default"/>
          <w:footerReference r:id="rId9" w:type="even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3B5852EC">
      <w:pPr>
        <w:pStyle w:val="16"/>
      </w:pPr>
    </w:p>
    <w:p w14:paraId="46720B64">
      <w:pPr>
        <w:pStyle w:val="2"/>
      </w:pPr>
      <w:bookmarkStart w:id="12" w:name="_Toc16145"/>
      <w:r>
        <w:rPr>
          <w:rFonts w:hint="eastAsia"/>
        </w:rPr>
        <w:t>住区概况</w:t>
      </w:r>
      <w:bookmarkEnd w:id="12"/>
    </w:p>
    <w:tbl>
      <w:tblPr>
        <w:tblStyle w:val="20"/>
        <w:tblpPr w:leftFromText="180" w:rightFromText="180" w:vertAnchor="text" w:horzAnchor="margin" w:tblpXSpec="center" w:tblpY="191"/>
        <w:tblW w:w="4885" w:type="pct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2"/>
        <w:gridCol w:w="3114"/>
        <w:gridCol w:w="3116"/>
      </w:tblGrid>
      <w:tr w14:paraId="27D826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 w14:paraId="202BC52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5" w:type="dxa"/>
            <w:gridSpan w:val="2"/>
          </w:tcPr>
          <w:p w14:paraId="4A367FF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名称1"/>
            <w:bookmarkEnd w:id="13"/>
          </w:p>
        </w:tc>
      </w:tr>
      <w:tr w14:paraId="1F39F3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 w14:paraId="2A37F20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5" w:type="dxa"/>
            <w:gridSpan w:val="2"/>
          </w:tcPr>
          <w:p w14:paraId="3F4D9AD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工程地点"/>
            <w:r>
              <w:t>西安</w:t>
            </w:r>
            <w:bookmarkEnd w:id="14"/>
          </w:p>
        </w:tc>
      </w:tr>
      <w:tr w14:paraId="0C7304F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 w14:paraId="0D4C286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3DB6616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5" w:name="纬度"/>
            <w:r>
              <w:t>34.28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3" w:type="dxa"/>
          </w:tcPr>
          <w:p w14:paraId="18C303B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6" w:name="经度"/>
            <w:r>
              <w:t>108.95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01BFF3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 w14:paraId="3391232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建筑气候区</w:t>
            </w:r>
          </w:p>
        </w:tc>
        <w:tc>
          <w:tcPr>
            <w:tcW w:w="6065" w:type="dxa"/>
            <w:gridSpan w:val="2"/>
          </w:tcPr>
          <w:p w14:paraId="61FEA9A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气候区"/>
            <w:r>
              <w:t>IIA</w:t>
            </w:r>
            <w:bookmarkEnd w:id="17"/>
          </w:p>
        </w:tc>
      </w:tr>
      <w:tr w14:paraId="26BDF5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 w14:paraId="3BF8711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主导风向</w:t>
            </w:r>
          </w:p>
        </w:tc>
        <w:tc>
          <w:tcPr>
            <w:tcW w:w="6065" w:type="dxa"/>
            <w:gridSpan w:val="2"/>
          </w:tcPr>
          <w:p w14:paraId="451737A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8" w:name="主导风向"/>
            <w:r>
              <w:t>南</w:t>
            </w:r>
            <w:bookmarkEnd w:id="18"/>
          </w:p>
        </w:tc>
      </w:tr>
    </w:tbl>
    <w:p w14:paraId="608AA869">
      <w:pPr>
        <w:pStyle w:val="3"/>
        <w:ind w:firstLine="420"/>
        <w:rPr>
          <w:lang w:val="en-US"/>
        </w:rPr>
      </w:pPr>
    </w:p>
    <w:p w14:paraId="426BAB2C">
      <w:pPr>
        <w:pStyle w:val="3"/>
        <w:ind w:firstLine="0" w:firstLineChars="0"/>
        <w:jc w:val="center"/>
        <w:rPr>
          <w:lang w:val="en-US"/>
        </w:rPr>
      </w:pPr>
      <w:bookmarkStart w:id="19" w:name="总图鸟瞰图"/>
      <w:bookmarkEnd w:id="19"/>
      <w:r>
        <w:drawing>
          <wp:inline distT="0" distB="0" distL="0" distR="0">
            <wp:extent cx="5667375" cy="3895725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928775">
      <w:pPr>
        <w:pStyle w:val="3"/>
        <w:ind w:firstLine="0" w:firstLineChars="0"/>
        <w:jc w:val="center"/>
        <w:rPr>
          <w:lang w:val="en-US"/>
        </w:rPr>
      </w:pPr>
      <w:bookmarkStart w:id="20" w:name="OLE_LINK4"/>
      <w:bookmarkStart w:id="21" w:name="OLE_LINK3"/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.1 场地鸟瞰图</w:t>
      </w:r>
      <w:bookmarkEnd w:id="20"/>
      <w:bookmarkEnd w:id="21"/>
    </w:p>
    <w:p w14:paraId="0B63707E">
      <w:pPr>
        <w:pStyle w:val="3"/>
        <w:ind w:firstLine="0" w:firstLineChars="0"/>
        <w:rPr>
          <w:lang w:val="en-US"/>
        </w:rPr>
      </w:pPr>
    </w:p>
    <w:p w14:paraId="00DF5537">
      <w:pPr>
        <w:pStyle w:val="3"/>
        <w:ind w:firstLine="0" w:firstLineChars="0"/>
        <w:jc w:val="center"/>
        <w:rPr>
          <w:lang w:val="en-US"/>
        </w:rPr>
      </w:pPr>
      <w:bookmarkStart w:id="22" w:name="总图平面图"/>
      <w:bookmarkEnd w:id="22"/>
      <w:r>
        <w:drawing>
          <wp:inline distT="0" distB="0" distL="0" distR="0">
            <wp:extent cx="5667375" cy="3895725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6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D4BE61">
      <w:pPr>
        <w:pStyle w:val="3"/>
        <w:ind w:firstLine="0" w:firstLineChars="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</w:t>
      </w:r>
      <w:r>
        <w:rPr>
          <w:rFonts w:ascii="宋体" w:hAnsi="宋体"/>
        </w:rPr>
        <w:t>2</w:t>
      </w:r>
      <w:r>
        <w:rPr>
          <w:rFonts w:hint="eastAsia" w:ascii="宋体" w:hAnsi="宋体"/>
        </w:rPr>
        <w:t xml:space="preserve"> 场地平面图</w:t>
      </w:r>
    </w:p>
    <w:p w14:paraId="069846D7">
      <w:pPr>
        <w:pStyle w:val="2"/>
      </w:pPr>
      <w:bookmarkStart w:id="23" w:name="_Toc7244"/>
      <w:bookmarkStart w:id="24" w:name="TitleFormat"/>
      <w:r>
        <w:rPr>
          <w:rFonts w:hint="eastAsia"/>
        </w:rPr>
        <w:t>设计依据</w:t>
      </w:r>
      <w:bookmarkEnd w:id="23"/>
    </w:p>
    <w:p w14:paraId="1AE25C8B">
      <w:pPr>
        <w:widowControl w:val="0"/>
        <w:jc w:val="both"/>
        <w:rPr>
          <w:kern w:val="2"/>
          <w:szCs w:val="24"/>
          <w:lang w:val="en-US"/>
        </w:rPr>
      </w:pPr>
      <w:bookmarkStart w:id="25" w:name="计算依据"/>
      <w:r>
        <w:t>1. 《绿色建筑评价标准》GB/T 50378-2019（2024年版）</w:t>
      </w:r>
      <w:r>
        <w:br w:type="textWrapping"/>
      </w:r>
      <w:r>
        <w:t>2. 《城市居住区热环境设计标准》JGJ 286-2013</w:t>
      </w:r>
      <w:bookmarkEnd w:id="24"/>
      <w:bookmarkEnd w:id="25"/>
    </w:p>
    <w:p w14:paraId="790505B0">
      <w:pPr>
        <w:pStyle w:val="2"/>
      </w:pPr>
      <w:bookmarkStart w:id="26" w:name="_Toc25702"/>
      <w:r>
        <w:rPr>
          <w:rFonts w:hint="eastAsia"/>
        </w:rPr>
        <w:t>计算规定</w:t>
      </w:r>
      <w:bookmarkEnd w:id="26"/>
    </w:p>
    <w:p w14:paraId="50B83A8B">
      <w:pPr>
        <w:pStyle w:val="3"/>
        <w:ind w:firstLine="420"/>
        <w:rPr>
          <w:rFonts w:ascii="Arial" w:hAnsi="Arial" w:cs="Arial"/>
          <w:color w:val="333333"/>
          <w:shd w:val="clear" w:color="auto" w:fill="FFFFFF"/>
        </w:rPr>
      </w:pPr>
      <w:r>
        <w:rPr>
          <w:rFonts w:hint="eastAsia"/>
          <w:kern w:val="2"/>
          <w:szCs w:val="24"/>
          <w:lang w:val="en-US"/>
        </w:rPr>
        <w:t>《城市居住区</w:t>
      </w:r>
      <w:r>
        <w:rPr>
          <w:rFonts w:hint="eastAsia" w:ascii="Arial" w:hAnsi="Arial" w:cs="Arial"/>
          <w:color w:val="333333"/>
          <w:shd w:val="clear" w:color="auto" w:fill="FFFFFF"/>
        </w:rPr>
        <w:t>热环境设计标准》的指标体系包括必须满足的强制性条文，在此基础上采用</w:t>
      </w:r>
      <w:r>
        <w:rPr>
          <w:rFonts w:ascii="Arial" w:hAnsi="Arial" w:cs="Arial"/>
          <w:color w:val="333333"/>
          <w:shd w:val="clear" w:color="auto" w:fill="FFFFFF"/>
        </w:rPr>
        <w:t>规定性设计或评价性设计。</w:t>
      </w:r>
    </w:p>
    <w:p w14:paraId="46AAC3A2">
      <w:pPr>
        <w:pStyle w:val="4"/>
      </w:pPr>
      <w:bookmarkStart w:id="27" w:name="_Toc15336"/>
      <w:r>
        <w:rPr>
          <w:rFonts w:hint="eastAsia"/>
        </w:rPr>
        <w:t>强制条文</w:t>
      </w:r>
      <w:bookmarkEnd w:id="27"/>
    </w:p>
    <w:p w14:paraId="201FEF3A">
      <w:pPr>
        <w:pStyle w:val="3"/>
        <w:spacing w:line="360" w:lineRule="auto"/>
        <w:ind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（1）</w:t>
      </w:r>
      <w:r>
        <w:rPr>
          <w:bCs/>
          <w:kern w:val="2"/>
          <w:sz w:val="24"/>
          <w:szCs w:val="24"/>
          <w:lang w:val="en-US"/>
        </w:rPr>
        <w:t>4</w:t>
      </w:r>
      <w:r>
        <w:rPr>
          <w:rFonts w:hint="eastAsia"/>
          <w:bCs/>
          <w:kern w:val="2"/>
          <w:sz w:val="24"/>
          <w:szCs w:val="24"/>
          <w:lang w:val="en-US"/>
        </w:rPr>
        <w:t>.1.1</w:t>
      </w:r>
      <w:r>
        <w:rPr>
          <w:bCs/>
          <w:kern w:val="2"/>
          <w:sz w:val="24"/>
          <w:szCs w:val="24"/>
          <w:lang w:val="en-US"/>
        </w:rPr>
        <w:t xml:space="preserve"> 居住区的夏季平均迎风面积比应符合表4．1．1的规定。</w:t>
      </w:r>
    </w:p>
    <w:p w14:paraId="04294197">
      <w:pPr>
        <w:pStyle w:val="18"/>
        <w:shd w:val="clear" w:color="auto" w:fill="FFFFFF"/>
        <w:spacing w:before="0" w:beforeAutospacing="0" w:after="0" w:afterAutospacing="0" w:line="360" w:lineRule="auto"/>
        <w:ind w:firstLine="420"/>
        <w:jc w:val="center"/>
        <w:rPr>
          <w:rStyle w:val="23"/>
          <w:rFonts w:ascii="Arial" w:hAnsi="Arial" w:cs="Arial"/>
          <w:color w:val="333333"/>
          <w:sz w:val="21"/>
          <w:szCs w:val="21"/>
        </w:rPr>
      </w:pPr>
      <w:r>
        <w:rPr>
          <w:rStyle w:val="23"/>
          <w:rFonts w:ascii="Arial" w:hAnsi="Arial" w:cs="Arial"/>
          <w:color w:val="333333"/>
          <w:sz w:val="21"/>
          <w:szCs w:val="21"/>
        </w:rPr>
        <w:t>表4．1．1 居住区的夏季平均迎风面积比（ζ</w:t>
      </w:r>
      <w:r>
        <w:rPr>
          <w:rStyle w:val="23"/>
          <w:rFonts w:ascii="Arial" w:hAnsi="Arial" w:cs="Arial"/>
          <w:color w:val="333333"/>
          <w:sz w:val="21"/>
          <w:szCs w:val="21"/>
          <w:vertAlign w:val="subscript"/>
        </w:rPr>
        <w:t>s</w:t>
      </w:r>
      <w:r>
        <w:rPr>
          <w:rStyle w:val="23"/>
          <w:rFonts w:ascii="Arial" w:hAnsi="Arial" w:cs="Arial"/>
          <w:color w:val="333333"/>
          <w:sz w:val="21"/>
          <w:szCs w:val="21"/>
        </w:rPr>
        <w:t>）限值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1"/>
        <w:gridCol w:w="2321"/>
        <w:gridCol w:w="2322"/>
        <w:gridCol w:w="2322"/>
      </w:tblGrid>
      <w:tr w14:paraId="2F03F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1" w:type="dxa"/>
          </w:tcPr>
          <w:p w14:paraId="3DC5F634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建筑气候区</w:t>
            </w:r>
          </w:p>
        </w:tc>
        <w:tc>
          <w:tcPr>
            <w:tcW w:w="2321" w:type="dxa"/>
          </w:tcPr>
          <w:p w14:paraId="6E82F324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I、II、VI、VII</w:t>
            </w:r>
          </w:p>
        </w:tc>
        <w:tc>
          <w:tcPr>
            <w:tcW w:w="2322" w:type="dxa"/>
          </w:tcPr>
          <w:p w14:paraId="30B6AC82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III、V</w:t>
            </w:r>
          </w:p>
        </w:tc>
        <w:tc>
          <w:tcPr>
            <w:tcW w:w="2322" w:type="dxa"/>
          </w:tcPr>
          <w:p w14:paraId="6B04B796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IV</w:t>
            </w:r>
          </w:p>
        </w:tc>
      </w:tr>
      <w:tr w14:paraId="48B39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1" w:type="dxa"/>
          </w:tcPr>
          <w:p w14:paraId="46209D8C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平均迎风面积比</w:t>
            </w:r>
          </w:p>
        </w:tc>
        <w:tc>
          <w:tcPr>
            <w:tcW w:w="2321" w:type="dxa"/>
          </w:tcPr>
          <w:p w14:paraId="6C48D3BB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0.85</w:t>
            </w:r>
          </w:p>
        </w:tc>
        <w:tc>
          <w:tcPr>
            <w:tcW w:w="2322" w:type="dxa"/>
          </w:tcPr>
          <w:p w14:paraId="40EF9EE6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0.80</w:t>
            </w:r>
          </w:p>
        </w:tc>
        <w:tc>
          <w:tcPr>
            <w:tcW w:w="2322" w:type="dxa"/>
          </w:tcPr>
          <w:p w14:paraId="43AFC209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0.70</w:t>
            </w:r>
          </w:p>
        </w:tc>
      </w:tr>
    </w:tbl>
    <w:p w14:paraId="2D9AD8A6">
      <w:pPr>
        <w:pStyle w:val="18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</w:rPr>
      </w:pPr>
    </w:p>
    <w:p w14:paraId="2876355E">
      <w:pPr>
        <w:pStyle w:val="18"/>
        <w:shd w:val="clear" w:color="auto" w:fill="FFFFFF"/>
        <w:spacing w:before="0" w:beforeAutospacing="0" w:after="0" w:afterAutospacing="0"/>
        <w:ind w:firstLine="420"/>
        <w:rPr>
          <w:rFonts w:ascii="Times New Roman" w:hAnsi="Times New Roman" w:cs="Times New Roman"/>
          <w:kern w:val="2"/>
          <w:sz w:val="21"/>
        </w:rPr>
      </w:pPr>
      <w:r>
        <w:rPr>
          <w:rFonts w:hint="eastAsia" w:ascii="Times New Roman" w:hAnsi="Times New Roman" w:cs="Times New Roman"/>
          <w:kern w:val="2"/>
          <w:sz w:val="21"/>
        </w:rPr>
        <w:t>（2）</w:t>
      </w:r>
      <w:r>
        <w:rPr>
          <w:rFonts w:ascii="Times New Roman" w:hAnsi="Times New Roman" w:cs="Times New Roman"/>
          <w:bCs/>
          <w:kern w:val="2"/>
        </w:rPr>
        <w:t>4</w:t>
      </w:r>
      <w:r>
        <w:rPr>
          <w:rFonts w:hint="eastAsia" w:ascii="Times New Roman" w:hAnsi="Times New Roman" w:cs="Times New Roman"/>
          <w:bCs/>
          <w:kern w:val="2"/>
        </w:rPr>
        <w:t>.2.1</w:t>
      </w:r>
      <w:r>
        <w:rPr>
          <w:rFonts w:ascii="Times New Roman" w:hAnsi="Times New Roman" w:cs="Times New Roman"/>
          <w:bCs/>
          <w:kern w:val="2"/>
        </w:rPr>
        <w:t>居住区夏季户外活动场地应有遮阳，遮阳覆盖率不应小于表4．2．1的规定。</w:t>
      </w:r>
    </w:p>
    <w:p w14:paraId="59EA218D">
      <w:pPr>
        <w:pStyle w:val="18"/>
        <w:shd w:val="clear" w:color="auto" w:fill="FFFFFF"/>
        <w:spacing w:before="0" w:beforeAutospacing="0" w:after="0" w:afterAutospacing="0"/>
        <w:ind w:firstLine="420"/>
        <w:jc w:val="center"/>
        <w:rPr>
          <w:rStyle w:val="23"/>
          <w:rFonts w:ascii="Arial" w:hAnsi="Arial" w:cs="Arial"/>
          <w:color w:val="333333"/>
          <w:sz w:val="21"/>
          <w:szCs w:val="21"/>
        </w:rPr>
      </w:pPr>
      <w:r>
        <w:rPr>
          <w:rStyle w:val="23"/>
          <w:rFonts w:ascii="Arial" w:hAnsi="Arial" w:cs="Arial"/>
          <w:color w:val="333333"/>
          <w:sz w:val="21"/>
          <w:szCs w:val="21"/>
        </w:rPr>
        <w:t>表4．2．1 居住区活动场地的遮阳覆盖率限值(％)</w:t>
      </w:r>
    </w:p>
    <w:tbl>
      <w:tblPr>
        <w:tblStyle w:val="21"/>
        <w:tblW w:w="0" w:type="auto"/>
        <w:tblInd w:w="15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9"/>
        <w:gridCol w:w="2258"/>
        <w:gridCol w:w="2268"/>
      </w:tblGrid>
      <w:tr w14:paraId="23244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  <w:vMerge w:val="restart"/>
          </w:tcPr>
          <w:p w14:paraId="0616063A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场地</w:t>
            </w:r>
          </w:p>
        </w:tc>
        <w:tc>
          <w:tcPr>
            <w:tcW w:w="4526" w:type="dxa"/>
            <w:gridSpan w:val="2"/>
          </w:tcPr>
          <w:p w14:paraId="15F9970B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建筑气候区</w:t>
            </w:r>
          </w:p>
        </w:tc>
      </w:tr>
      <w:tr w14:paraId="1C271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  <w:vMerge w:val="continue"/>
          </w:tcPr>
          <w:p w14:paraId="42EECA3C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2258" w:type="dxa"/>
          </w:tcPr>
          <w:p w14:paraId="5DD14480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I、II、VI、VII</w:t>
            </w:r>
          </w:p>
        </w:tc>
        <w:tc>
          <w:tcPr>
            <w:tcW w:w="2268" w:type="dxa"/>
          </w:tcPr>
          <w:p w14:paraId="403DC122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III、IV、V</w:t>
            </w:r>
          </w:p>
        </w:tc>
      </w:tr>
      <w:tr w14:paraId="6085E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 w14:paraId="23DD2130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广场</w:t>
            </w:r>
          </w:p>
        </w:tc>
        <w:tc>
          <w:tcPr>
            <w:tcW w:w="2258" w:type="dxa"/>
          </w:tcPr>
          <w:p w14:paraId="754EEE46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10</w:t>
            </w:r>
          </w:p>
        </w:tc>
        <w:tc>
          <w:tcPr>
            <w:tcW w:w="2268" w:type="dxa"/>
          </w:tcPr>
          <w:p w14:paraId="7017EA57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25</w:t>
            </w:r>
          </w:p>
        </w:tc>
      </w:tr>
      <w:tr w14:paraId="6CF43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 w14:paraId="0D470693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游憩场</w:t>
            </w:r>
          </w:p>
        </w:tc>
        <w:tc>
          <w:tcPr>
            <w:tcW w:w="2258" w:type="dxa"/>
          </w:tcPr>
          <w:p w14:paraId="78D3FE61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 w14:paraId="77D2CC4A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30</w:t>
            </w:r>
          </w:p>
        </w:tc>
      </w:tr>
      <w:tr w14:paraId="631A7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 w14:paraId="70445A22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停车场</w:t>
            </w:r>
          </w:p>
        </w:tc>
        <w:tc>
          <w:tcPr>
            <w:tcW w:w="2258" w:type="dxa"/>
          </w:tcPr>
          <w:p w14:paraId="0942B222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 w14:paraId="5EB8657E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30</w:t>
            </w:r>
          </w:p>
        </w:tc>
      </w:tr>
      <w:tr w14:paraId="47ABC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 w14:paraId="08DC682B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人行道</w:t>
            </w:r>
          </w:p>
        </w:tc>
        <w:tc>
          <w:tcPr>
            <w:tcW w:w="2258" w:type="dxa"/>
          </w:tcPr>
          <w:p w14:paraId="0A94DC8B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25</w:t>
            </w:r>
          </w:p>
        </w:tc>
        <w:tc>
          <w:tcPr>
            <w:tcW w:w="2268" w:type="dxa"/>
          </w:tcPr>
          <w:p w14:paraId="0BDD6657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50</w:t>
            </w:r>
          </w:p>
        </w:tc>
      </w:tr>
    </w:tbl>
    <w:p w14:paraId="230B2847">
      <w:pPr>
        <w:pStyle w:val="4"/>
      </w:pPr>
      <w:bookmarkStart w:id="28" w:name="_Toc30813"/>
      <w:r>
        <w:rPr>
          <w:rFonts w:hint="eastAsia"/>
        </w:rPr>
        <w:t>规定性设计</w:t>
      </w:r>
      <w:bookmarkEnd w:id="28"/>
    </w:p>
    <w:p w14:paraId="7E15028E"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（1）4.1.4：在Ⅲ、Ⅳ、Ⅴ建筑气候区，当夏季主导风向上的建筑物迎风面宽度超过80m时，该建筑底层的通风架空率不应小于10％。</w:t>
      </w:r>
    </w:p>
    <w:p w14:paraId="07100ED4"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（2）4.2.3：</w:t>
      </w:r>
      <w:r>
        <w:rPr>
          <w:rFonts w:ascii="Times New Roman" w:hAnsi="Times New Roman" w:cs="Times New Roman"/>
          <w:bCs/>
          <w:kern w:val="2"/>
        </w:rPr>
        <w:t>绿化遮阳体的叶面积指数不应小于3</w:t>
      </w:r>
      <w:r>
        <w:rPr>
          <w:rFonts w:hint="eastAsia" w:ascii="Times New Roman" w:hAnsi="Times New Roman" w:cs="Times New Roman"/>
          <w:bCs/>
          <w:kern w:val="2"/>
        </w:rPr>
        <w:t>.0</w:t>
      </w:r>
      <w:r>
        <w:rPr>
          <w:rFonts w:ascii="Times New Roman" w:hAnsi="Times New Roman" w:cs="Times New Roman"/>
          <w:bCs/>
          <w:kern w:val="2"/>
        </w:rPr>
        <w:t>。</w:t>
      </w:r>
    </w:p>
    <w:p w14:paraId="0E159DA1"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（3）4.3.1：居住区户外活动场地和人行道路地面应有雨水渗透与蒸发能力，渗透与蒸发指标不应低于表4.3.1的规定。</w:t>
      </w:r>
    </w:p>
    <w:p w14:paraId="6E4CEF52">
      <w:pPr>
        <w:pStyle w:val="18"/>
        <w:shd w:val="clear" w:color="auto" w:fill="FFFFFF"/>
        <w:spacing w:before="0" w:beforeAutospacing="0" w:after="0" w:afterAutospacing="0"/>
        <w:ind w:firstLine="420"/>
        <w:jc w:val="center"/>
        <w:rPr>
          <w:rStyle w:val="23"/>
          <w:rFonts w:ascii="Arial" w:hAnsi="Arial" w:cs="Arial"/>
          <w:color w:val="333333"/>
          <w:sz w:val="21"/>
          <w:szCs w:val="21"/>
        </w:rPr>
      </w:pPr>
      <w:r>
        <w:rPr>
          <w:rStyle w:val="23"/>
          <w:rFonts w:ascii="Arial" w:hAnsi="Arial" w:cs="Arial"/>
          <w:color w:val="333333"/>
          <w:sz w:val="21"/>
          <w:szCs w:val="21"/>
        </w:rPr>
        <w:t>表4．</w:t>
      </w:r>
      <w:r>
        <w:rPr>
          <w:rStyle w:val="23"/>
          <w:rFonts w:hint="eastAsia" w:ascii="Arial" w:hAnsi="Arial" w:cs="Arial"/>
          <w:color w:val="333333"/>
          <w:sz w:val="21"/>
          <w:szCs w:val="21"/>
        </w:rPr>
        <w:t>3</w:t>
      </w:r>
      <w:r>
        <w:rPr>
          <w:rStyle w:val="23"/>
          <w:rFonts w:ascii="Arial" w:hAnsi="Arial" w:cs="Arial"/>
          <w:color w:val="333333"/>
          <w:sz w:val="21"/>
          <w:szCs w:val="21"/>
        </w:rPr>
        <w:t>．1 居住区</w:t>
      </w:r>
      <w:r>
        <w:rPr>
          <w:rStyle w:val="23"/>
          <w:rFonts w:hint="eastAsia" w:ascii="Arial" w:hAnsi="Arial" w:cs="Arial"/>
          <w:color w:val="333333"/>
          <w:sz w:val="21"/>
          <w:szCs w:val="21"/>
        </w:rPr>
        <w:t>地面渗透蒸发指标</w:t>
      </w:r>
    </w:p>
    <w:tbl>
      <w:tblPr>
        <w:tblStyle w:val="20"/>
        <w:tblW w:w="9747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16"/>
        <w:gridCol w:w="1456"/>
        <w:gridCol w:w="1439"/>
        <w:gridCol w:w="1278"/>
        <w:gridCol w:w="1536"/>
        <w:gridCol w:w="1505"/>
        <w:gridCol w:w="1417"/>
      </w:tblGrid>
      <w:tr w14:paraId="22909CA6">
        <w:trPr>
          <w:trHeight w:val="403" w:hRule="atLeast"/>
        </w:trPr>
        <w:tc>
          <w:tcPr>
            <w:tcW w:w="111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8601B8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</w:t>
            </w:r>
          </w:p>
        </w:tc>
        <w:tc>
          <w:tcPr>
            <w:tcW w:w="417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FCBD18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I、II、VI、VII气候区</w:t>
            </w:r>
          </w:p>
        </w:tc>
        <w:tc>
          <w:tcPr>
            <w:tcW w:w="445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EF25F9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III、IV、V气候区</w:t>
            </w:r>
          </w:p>
        </w:tc>
      </w:tr>
      <w:tr w14:paraId="15F8C5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0D641F5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AD0994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渗透面积比率β（%）</w:t>
            </w:r>
          </w:p>
        </w:tc>
        <w:tc>
          <w:tcPr>
            <w:tcW w:w="14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5547BC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地面透水系数k（mm/s）</w:t>
            </w:r>
          </w:p>
        </w:tc>
        <w:tc>
          <w:tcPr>
            <w:tcW w:w="12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ADD063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蒸发量m（kg/㎡·d）</w:t>
            </w: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203EAF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渗透面积比率β（%）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11757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地面透水系数k（mm/s）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D38741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蒸发量m（kg/㎡·d）</w:t>
            </w:r>
          </w:p>
        </w:tc>
      </w:tr>
      <w:tr w14:paraId="2E1C9B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CF9084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广场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E7CE2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40</w:t>
            </w:r>
          </w:p>
        </w:tc>
        <w:tc>
          <w:tcPr>
            <w:tcW w:w="143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DB87F9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3</w:t>
            </w:r>
          </w:p>
        </w:tc>
        <w:tc>
          <w:tcPr>
            <w:tcW w:w="127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FC604E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1.6</w:t>
            </w: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076C2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150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CBCEA9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>
              <w:rPr>
                <w:rFonts w:hint="eastAsia" w:ascii="微软雅黑" w:hAnsi="微软雅黑" w:cs="Arial" w:eastAsiaTheme="minorEastAsia"/>
                <w:color w:val="000000" w:themeColor="text1"/>
                <w:kern w:val="2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C3E45E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1.3</w:t>
            </w:r>
          </w:p>
        </w:tc>
      </w:tr>
      <w:tr w14:paraId="5E9675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FF808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游憩场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2B183C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04D7AA8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767561A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5ED978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BC9A90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2659875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14:paraId="0139F440"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1753EA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停车场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FB205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7134A8B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A1F9A27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6993F9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70</w:t>
            </w:r>
          </w:p>
        </w:tc>
        <w:tc>
          <w:tcPr>
            <w:tcW w:w="1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25E8E14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07D47D8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14:paraId="5D4C66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5BF95E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人行道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7A54E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61716E4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ED5EE2D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1EFF2A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02FC314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35BA16B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</w:tbl>
    <w:p w14:paraId="5711AE81"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（4）居住区内建筑屋面的绿化面积不应低于可绿化屋面面积的50％。</w:t>
      </w:r>
    </w:p>
    <w:p w14:paraId="5C605C62">
      <w:pPr>
        <w:pStyle w:val="3"/>
        <w:ind w:firstLine="199" w:firstLineChars="95"/>
        <w:rPr>
          <w:lang w:val="en-US"/>
        </w:rPr>
      </w:pPr>
      <w:r>
        <w:rPr>
          <w:rFonts w:hint="eastAsia"/>
          <w:lang w:val="en-US"/>
        </w:rPr>
        <w:t>当以上4条有任意一条不能满足时候，需要进行评价性设计。</w:t>
      </w:r>
    </w:p>
    <w:p w14:paraId="77C50D6A">
      <w:pPr>
        <w:pStyle w:val="2"/>
      </w:pPr>
      <w:bookmarkStart w:id="29" w:name="_Toc17087"/>
      <w:r>
        <w:rPr>
          <w:rFonts w:hint="eastAsia"/>
        </w:rPr>
        <w:t>计算参数</w:t>
      </w:r>
      <w:bookmarkEnd w:id="29"/>
    </w:p>
    <w:p w14:paraId="5DA09856">
      <w:pPr>
        <w:pStyle w:val="4"/>
      </w:pPr>
      <w:bookmarkStart w:id="30" w:name="_Toc19016"/>
      <w:r>
        <w:rPr>
          <w:rFonts w:hint="eastAsia"/>
        </w:rPr>
        <w:t>典型气象日气象参数</w:t>
      </w:r>
      <w:bookmarkEnd w:id="30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1341"/>
        <w:gridCol w:w="1341"/>
        <w:gridCol w:w="1341"/>
        <w:gridCol w:w="1341"/>
        <w:gridCol w:w="1341"/>
        <w:gridCol w:w="1341"/>
      </w:tblGrid>
      <w:tr w14:paraId="2786E2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571D0E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5C1827FD">
            <w:pPr>
              <w:jc w:val="center"/>
            </w:pPr>
            <w:r>
              <w:t>干球温度</w:t>
            </w:r>
            <w:r>
              <w:br w:type="textWrapping"/>
            </w:r>
            <w:r>
              <w:t>(℃)</w:t>
            </w:r>
          </w:p>
        </w:tc>
        <w:tc>
          <w:tcPr>
            <w:shd w:val="clear" w:color="auto" w:fill="E6E6E6"/>
            <w:vAlign w:val="center"/>
          </w:tcPr>
          <w:p w14:paraId="043EA0D1">
            <w:pPr>
              <w:jc w:val="center"/>
            </w:pPr>
            <w:r>
              <w:t>相对湿度(%)</w:t>
            </w:r>
          </w:p>
        </w:tc>
        <w:tc>
          <w:tcPr>
            <w:shd w:val="clear" w:color="auto" w:fill="E6E6E6"/>
            <w:vAlign w:val="center"/>
          </w:tcPr>
          <w:p w14:paraId="36096504">
            <w:pPr>
              <w:jc w:val="center"/>
            </w:pPr>
            <w:r>
              <w:t>水平总辐射照度</w:t>
            </w:r>
            <w:r>
              <w:br w:type="textWrapping"/>
            </w:r>
            <w:r>
              <w:t>(W/㎡)</w:t>
            </w:r>
          </w:p>
        </w:tc>
        <w:tc>
          <w:tcPr>
            <w:shd w:val="clear" w:color="auto" w:fill="E6E6E6"/>
            <w:vAlign w:val="center"/>
          </w:tcPr>
          <w:p w14:paraId="3F807489">
            <w:pPr>
              <w:jc w:val="center"/>
            </w:pPr>
            <w:r>
              <w:t>水平散射辐射照度</w:t>
            </w:r>
            <w:r>
              <w:br w:type="textWrapping"/>
            </w:r>
            <w:r>
              <w:t>(W/㎡)</w:t>
            </w:r>
          </w:p>
        </w:tc>
        <w:tc>
          <w:tcPr>
            <w:shd w:val="clear" w:color="auto" w:fill="E6E6E6"/>
            <w:vAlign w:val="center"/>
          </w:tcPr>
          <w:p w14:paraId="5128283F">
            <w:pPr>
              <w:jc w:val="center"/>
            </w:pPr>
            <w:r>
              <w:t>风速(m/s)</w:t>
            </w:r>
          </w:p>
        </w:tc>
        <w:tc>
          <w:tcPr>
            <w:shd w:val="clear" w:color="auto" w:fill="E6E6E6"/>
            <w:vAlign w:val="center"/>
          </w:tcPr>
          <w:p w14:paraId="726C79A4">
            <w:pPr>
              <w:jc w:val="center"/>
            </w:pPr>
            <w:r>
              <w:t>主导风向</w:t>
            </w:r>
          </w:p>
        </w:tc>
      </w:tr>
      <w:tr w14:paraId="43B07C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11CA1D">
            <w:pPr>
              <w:jc w:val="center"/>
            </w:pPr>
            <w:r>
              <w:t>0</w:t>
            </w:r>
          </w:p>
        </w:tc>
        <w:tc>
          <w:tcPr>
            <w:vAlign w:val="center"/>
          </w:tcPr>
          <w:p w14:paraId="68EB35C6">
            <w:pPr>
              <w:jc w:val="center"/>
            </w:pPr>
            <w:r>
              <w:t>26.7</w:t>
            </w:r>
          </w:p>
        </w:tc>
        <w:tc>
          <w:tcPr>
            <w:vAlign w:val="center"/>
          </w:tcPr>
          <w:p w14:paraId="17A1A031">
            <w:pPr>
              <w:jc w:val="center"/>
            </w:pPr>
            <w:r>
              <w:t>75</w:t>
            </w:r>
          </w:p>
        </w:tc>
        <w:tc>
          <w:tcPr>
            <w:vAlign w:val="center"/>
          </w:tcPr>
          <w:p w14:paraId="26E76E4C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47F297F4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33A4D940">
            <w:pPr>
              <w:jc w:val="center"/>
            </w:pPr>
            <w:r>
              <w:t>2.0</w:t>
            </w:r>
          </w:p>
        </w:tc>
        <w:tc>
          <w:tcPr>
            <w:vMerge w:val="restart"/>
            <w:vAlign w:val="center"/>
          </w:tcPr>
          <w:p w14:paraId="418B8C60">
            <w:pPr>
              <w:jc w:val="center"/>
            </w:pPr>
            <w:r>
              <w:t>南</w:t>
            </w:r>
          </w:p>
        </w:tc>
      </w:tr>
      <w:tr w14:paraId="59DF24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E98D5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5549671">
            <w:pPr>
              <w:jc w:val="center"/>
            </w:pPr>
            <w:r>
              <w:t>26.3</w:t>
            </w:r>
          </w:p>
        </w:tc>
        <w:tc>
          <w:tcPr>
            <w:vAlign w:val="center"/>
          </w:tcPr>
          <w:p w14:paraId="02C7E4B5">
            <w:pPr>
              <w:jc w:val="center"/>
            </w:pPr>
            <w:r>
              <w:t>75</w:t>
            </w:r>
          </w:p>
        </w:tc>
        <w:tc>
          <w:tcPr>
            <w:vAlign w:val="center"/>
          </w:tcPr>
          <w:p w14:paraId="5DA1F4E5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171325EE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1A213BD7">
            <w:pPr>
              <w:jc w:val="center"/>
            </w:pPr>
            <w:r>
              <w:t>2.0</w:t>
            </w:r>
          </w:p>
        </w:tc>
        <w:tc>
          <w:tcPr>
            <w:vMerge w:val="continue"/>
            <w:vAlign w:val="center"/>
          </w:tcPr>
          <w:p w14:paraId="78DF7F2F">
            <w:pPr>
              <w:jc w:val="center"/>
            </w:pPr>
          </w:p>
        </w:tc>
      </w:tr>
      <w:tr w14:paraId="09F7EE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9D90E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CD76A00">
            <w:pPr>
              <w:jc w:val="center"/>
            </w:pPr>
            <w:r>
              <w:t>26.1</w:t>
            </w:r>
          </w:p>
        </w:tc>
        <w:tc>
          <w:tcPr>
            <w:vAlign w:val="center"/>
          </w:tcPr>
          <w:p w14:paraId="066E54C1">
            <w:pPr>
              <w:jc w:val="center"/>
            </w:pPr>
            <w:r>
              <w:t>77</w:t>
            </w:r>
          </w:p>
        </w:tc>
        <w:tc>
          <w:tcPr>
            <w:vAlign w:val="center"/>
          </w:tcPr>
          <w:p w14:paraId="41D75508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3AB04BA5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02F3D7B2">
            <w:pPr>
              <w:jc w:val="center"/>
            </w:pPr>
            <w:r>
              <w:t>1.7</w:t>
            </w:r>
          </w:p>
        </w:tc>
        <w:tc>
          <w:tcPr>
            <w:vMerge w:val="continue"/>
            <w:vAlign w:val="center"/>
          </w:tcPr>
          <w:p w14:paraId="795FAFC4">
            <w:pPr>
              <w:jc w:val="center"/>
            </w:pPr>
          </w:p>
        </w:tc>
      </w:tr>
      <w:tr w14:paraId="171979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4752ED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7176892">
            <w:pPr>
              <w:jc w:val="center"/>
            </w:pPr>
            <w:r>
              <w:t>25.5</w:t>
            </w:r>
          </w:p>
        </w:tc>
        <w:tc>
          <w:tcPr>
            <w:vAlign w:val="center"/>
          </w:tcPr>
          <w:p w14:paraId="52548BEE">
            <w:pPr>
              <w:jc w:val="center"/>
            </w:pPr>
            <w:r>
              <w:t>75</w:t>
            </w:r>
          </w:p>
        </w:tc>
        <w:tc>
          <w:tcPr>
            <w:vAlign w:val="center"/>
          </w:tcPr>
          <w:p w14:paraId="5967BE9C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0C13327A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566D003D">
            <w:pPr>
              <w:jc w:val="center"/>
            </w:pPr>
            <w:r>
              <w:t>1.3</w:t>
            </w:r>
          </w:p>
        </w:tc>
        <w:tc>
          <w:tcPr>
            <w:vMerge w:val="continue"/>
            <w:vAlign w:val="center"/>
          </w:tcPr>
          <w:p w14:paraId="4B4107AF">
            <w:pPr>
              <w:jc w:val="center"/>
            </w:pPr>
          </w:p>
        </w:tc>
      </w:tr>
      <w:tr w14:paraId="59D3A9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3989EE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0CA72CD3">
            <w:pPr>
              <w:jc w:val="center"/>
            </w:pPr>
            <w:r>
              <w:t>25.1</w:t>
            </w:r>
          </w:p>
        </w:tc>
        <w:tc>
          <w:tcPr>
            <w:vAlign w:val="center"/>
          </w:tcPr>
          <w:p w14:paraId="7EBAA770">
            <w:pPr>
              <w:jc w:val="center"/>
            </w:pPr>
            <w:r>
              <w:t>76</w:t>
            </w:r>
          </w:p>
        </w:tc>
        <w:tc>
          <w:tcPr>
            <w:vAlign w:val="center"/>
          </w:tcPr>
          <w:p w14:paraId="760C456A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7B1F9893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5A46A085">
            <w:pPr>
              <w:jc w:val="center"/>
            </w:pPr>
            <w:r>
              <w:t>1.0</w:t>
            </w:r>
          </w:p>
        </w:tc>
        <w:tc>
          <w:tcPr>
            <w:vMerge w:val="continue"/>
            <w:vAlign w:val="center"/>
          </w:tcPr>
          <w:p w14:paraId="5D33ADCC">
            <w:pPr>
              <w:jc w:val="center"/>
            </w:pPr>
          </w:p>
        </w:tc>
      </w:tr>
      <w:tr w14:paraId="023858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79B42F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6FA54972">
            <w:pPr>
              <w:jc w:val="center"/>
            </w:pPr>
            <w:r>
              <w:t>24.7</w:t>
            </w:r>
          </w:p>
        </w:tc>
        <w:tc>
          <w:tcPr>
            <w:vAlign w:val="center"/>
          </w:tcPr>
          <w:p w14:paraId="379FAFEE">
            <w:pPr>
              <w:jc w:val="center"/>
            </w:pPr>
            <w:r>
              <w:t>79</w:t>
            </w:r>
          </w:p>
        </w:tc>
        <w:tc>
          <w:tcPr>
            <w:vAlign w:val="center"/>
          </w:tcPr>
          <w:p w14:paraId="7F663591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7899583A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0CDDFD8F">
            <w:pPr>
              <w:jc w:val="center"/>
            </w:pPr>
            <w:r>
              <w:t>0.7</w:t>
            </w:r>
          </w:p>
        </w:tc>
        <w:tc>
          <w:tcPr>
            <w:vMerge w:val="continue"/>
            <w:vAlign w:val="center"/>
          </w:tcPr>
          <w:p w14:paraId="74E2B93F">
            <w:pPr>
              <w:jc w:val="center"/>
            </w:pPr>
          </w:p>
        </w:tc>
      </w:tr>
      <w:tr w14:paraId="42548E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4F6205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080E4D01">
            <w:pPr>
              <w:jc w:val="center"/>
            </w:pPr>
            <w:r>
              <w:t>24.1</w:t>
            </w:r>
          </w:p>
        </w:tc>
        <w:tc>
          <w:tcPr>
            <w:vAlign w:val="center"/>
          </w:tcPr>
          <w:p w14:paraId="5889204A">
            <w:pPr>
              <w:jc w:val="center"/>
            </w:pPr>
            <w:r>
              <w:t>79</w:t>
            </w:r>
          </w:p>
        </w:tc>
        <w:tc>
          <w:tcPr>
            <w:vAlign w:val="center"/>
          </w:tcPr>
          <w:p w14:paraId="3F1F9C35">
            <w:pPr>
              <w:jc w:val="center"/>
            </w:pPr>
            <w:r>
              <w:t>55.56</w:t>
            </w:r>
          </w:p>
        </w:tc>
        <w:tc>
          <w:tcPr>
            <w:vAlign w:val="center"/>
          </w:tcPr>
          <w:p w14:paraId="72B67241">
            <w:pPr>
              <w:jc w:val="center"/>
            </w:pPr>
            <w:r>
              <w:t>41.67</w:t>
            </w:r>
          </w:p>
        </w:tc>
        <w:tc>
          <w:tcPr>
            <w:vAlign w:val="center"/>
          </w:tcPr>
          <w:p w14:paraId="254505F0">
            <w:pPr>
              <w:jc w:val="center"/>
            </w:pPr>
            <w:r>
              <w:t>0.3</w:t>
            </w:r>
          </w:p>
        </w:tc>
        <w:tc>
          <w:tcPr>
            <w:vMerge w:val="continue"/>
            <w:vAlign w:val="center"/>
          </w:tcPr>
          <w:p w14:paraId="305578B2">
            <w:pPr>
              <w:jc w:val="center"/>
            </w:pPr>
          </w:p>
        </w:tc>
      </w:tr>
      <w:tr w14:paraId="1218A5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5BB53C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539D767B">
            <w:pPr>
              <w:jc w:val="center"/>
            </w:pPr>
            <w:r>
              <w:t>23.8</w:t>
            </w:r>
          </w:p>
        </w:tc>
        <w:tc>
          <w:tcPr>
            <w:vAlign w:val="center"/>
          </w:tcPr>
          <w:p w14:paraId="2E21468F">
            <w:pPr>
              <w:jc w:val="center"/>
            </w:pPr>
            <w:r>
              <w:t>76</w:t>
            </w:r>
          </w:p>
        </w:tc>
        <w:tc>
          <w:tcPr>
            <w:vAlign w:val="center"/>
          </w:tcPr>
          <w:p w14:paraId="6B42B70F">
            <w:pPr>
              <w:jc w:val="center"/>
            </w:pPr>
            <w:r>
              <w:t>177.78</w:t>
            </w:r>
          </w:p>
        </w:tc>
        <w:tc>
          <w:tcPr>
            <w:vAlign w:val="center"/>
          </w:tcPr>
          <w:p w14:paraId="602F4D52">
            <w:pPr>
              <w:jc w:val="center"/>
            </w:pPr>
            <w:r>
              <w:t>105.56</w:t>
            </w:r>
          </w:p>
        </w:tc>
        <w:tc>
          <w:tcPr>
            <w:vAlign w:val="center"/>
          </w:tcPr>
          <w:p w14:paraId="5CAC1588">
            <w:pPr>
              <w:jc w:val="center"/>
            </w:pPr>
            <w:r>
              <w:t>0.0</w:t>
            </w:r>
          </w:p>
        </w:tc>
        <w:tc>
          <w:tcPr>
            <w:vMerge w:val="continue"/>
            <w:vAlign w:val="center"/>
          </w:tcPr>
          <w:p w14:paraId="6572701E">
            <w:pPr>
              <w:jc w:val="center"/>
            </w:pPr>
          </w:p>
        </w:tc>
      </w:tr>
      <w:tr w14:paraId="553450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F0A2DAE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2500EB4E">
            <w:pPr>
              <w:jc w:val="center"/>
            </w:pPr>
            <w:r>
              <w:t>24.2</w:t>
            </w:r>
          </w:p>
        </w:tc>
        <w:tc>
          <w:tcPr>
            <w:vAlign w:val="center"/>
          </w:tcPr>
          <w:p w14:paraId="14B0B866">
            <w:pPr>
              <w:jc w:val="center"/>
            </w:pPr>
            <w:r>
              <w:t>72</w:t>
            </w:r>
          </w:p>
        </w:tc>
        <w:tc>
          <w:tcPr>
            <w:vAlign w:val="center"/>
          </w:tcPr>
          <w:p w14:paraId="2F1D16A0">
            <w:pPr>
              <w:jc w:val="center"/>
            </w:pPr>
            <w:r>
              <w:t>316.67</w:t>
            </w:r>
          </w:p>
        </w:tc>
        <w:tc>
          <w:tcPr>
            <w:vAlign w:val="center"/>
          </w:tcPr>
          <w:p w14:paraId="6E589558">
            <w:pPr>
              <w:jc w:val="center"/>
            </w:pPr>
            <w:r>
              <w:t>163.89</w:t>
            </w:r>
          </w:p>
        </w:tc>
        <w:tc>
          <w:tcPr>
            <w:vAlign w:val="center"/>
          </w:tcPr>
          <w:p w14:paraId="3A9E98F7">
            <w:pPr>
              <w:jc w:val="center"/>
            </w:pPr>
            <w:r>
              <w:t>0.3</w:t>
            </w:r>
          </w:p>
        </w:tc>
        <w:tc>
          <w:tcPr>
            <w:vMerge w:val="continue"/>
            <w:vAlign w:val="center"/>
          </w:tcPr>
          <w:p w14:paraId="12480852">
            <w:pPr>
              <w:jc w:val="center"/>
            </w:pPr>
          </w:p>
        </w:tc>
      </w:tr>
      <w:tr w14:paraId="13DE33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8245CC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52A85F38">
            <w:pPr>
              <w:jc w:val="center"/>
            </w:pPr>
            <w:r>
              <w:t>25.1</w:t>
            </w:r>
          </w:p>
        </w:tc>
        <w:tc>
          <w:tcPr>
            <w:vAlign w:val="center"/>
          </w:tcPr>
          <w:p w14:paraId="38408C79">
            <w:pPr>
              <w:jc w:val="center"/>
            </w:pPr>
            <w:r>
              <w:t>70</w:t>
            </w:r>
          </w:p>
        </w:tc>
        <w:tc>
          <w:tcPr>
            <w:vAlign w:val="center"/>
          </w:tcPr>
          <w:p w14:paraId="16B8A663">
            <w:pPr>
              <w:jc w:val="center"/>
            </w:pPr>
            <w:r>
              <w:t>461.11</w:t>
            </w:r>
          </w:p>
        </w:tc>
        <w:tc>
          <w:tcPr>
            <w:vAlign w:val="center"/>
          </w:tcPr>
          <w:p w14:paraId="19F564C0">
            <w:pPr>
              <w:jc w:val="center"/>
            </w:pPr>
            <w:r>
              <w:t>219.44</w:t>
            </w:r>
          </w:p>
        </w:tc>
        <w:tc>
          <w:tcPr>
            <w:vAlign w:val="center"/>
          </w:tcPr>
          <w:p w14:paraId="03AE166E">
            <w:pPr>
              <w:jc w:val="center"/>
            </w:pPr>
            <w:r>
              <w:t>0.7</w:t>
            </w:r>
          </w:p>
        </w:tc>
        <w:tc>
          <w:tcPr>
            <w:vMerge w:val="continue"/>
            <w:vAlign w:val="center"/>
          </w:tcPr>
          <w:p w14:paraId="2A938B45">
            <w:pPr>
              <w:jc w:val="center"/>
            </w:pPr>
          </w:p>
        </w:tc>
      </w:tr>
      <w:tr w14:paraId="5F8FBB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4FF513E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044C85E0">
            <w:pPr>
              <w:jc w:val="center"/>
            </w:pPr>
            <w:r>
              <w:t>26.1</w:t>
            </w:r>
          </w:p>
        </w:tc>
        <w:tc>
          <w:tcPr>
            <w:vAlign w:val="center"/>
          </w:tcPr>
          <w:p w14:paraId="2E576670">
            <w:pPr>
              <w:jc w:val="center"/>
            </w:pPr>
            <w:r>
              <w:t>63</w:t>
            </w:r>
          </w:p>
        </w:tc>
        <w:tc>
          <w:tcPr>
            <w:vAlign w:val="center"/>
          </w:tcPr>
          <w:p w14:paraId="12676C5F">
            <w:pPr>
              <w:jc w:val="center"/>
            </w:pPr>
            <w:r>
              <w:t>588.89</w:t>
            </w:r>
          </w:p>
        </w:tc>
        <w:tc>
          <w:tcPr>
            <w:vAlign w:val="center"/>
          </w:tcPr>
          <w:p w14:paraId="6C248065">
            <w:pPr>
              <w:jc w:val="center"/>
            </w:pPr>
            <w:r>
              <w:t>263.89</w:t>
            </w:r>
          </w:p>
        </w:tc>
        <w:tc>
          <w:tcPr>
            <w:vAlign w:val="center"/>
          </w:tcPr>
          <w:p w14:paraId="7BB604E2">
            <w:pPr>
              <w:jc w:val="center"/>
            </w:pPr>
            <w:r>
              <w:t>1.0</w:t>
            </w:r>
          </w:p>
        </w:tc>
        <w:tc>
          <w:tcPr>
            <w:vMerge w:val="continue"/>
            <w:vAlign w:val="center"/>
          </w:tcPr>
          <w:p w14:paraId="7D25C048">
            <w:pPr>
              <w:jc w:val="center"/>
            </w:pPr>
          </w:p>
        </w:tc>
      </w:tr>
      <w:tr w14:paraId="526972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FFAD40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4BDA12ED">
            <w:pPr>
              <w:jc w:val="center"/>
            </w:pPr>
            <w:r>
              <w:t>26.6</w:t>
            </w:r>
          </w:p>
        </w:tc>
        <w:tc>
          <w:tcPr>
            <w:vAlign w:val="center"/>
          </w:tcPr>
          <w:p w14:paraId="5A8F2ACA">
            <w:pPr>
              <w:jc w:val="center"/>
            </w:pPr>
            <w:r>
              <w:t>58</w:t>
            </w:r>
          </w:p>
        </w:tc>
        <w:tc>
          <w:tcPr>
            <w:vAlign w:val="center"/>
          </w:tcPr>
          <w:p w14:paraId="7A9F605E">
            <w:pPr>
              <w:jc w:val="center"/>
            </w:pPr>
            <w:r>
              <w:t>683.33</w:t>
            </w:r>
          </w:p>
        </w:tc>
        <w:tc>
          <w:tcPr>
            <w:vAlign w:val="center"/>
          </w:tcPr>
          <w:p w14:paraId="6C39423F">
            <w:pPr>
              <w:jc w:val="center"/>
            </w:pPr>
            <w:r>
              <w:t>294.44</w:t>
            </w:r>
          </w:p>
        </w:tc>
        <w:tc>
          <w:tcPr>
            <w:vAlign w:val="center"/>
          </w:tcPr>
          <w:p w14:paraId="3AED82F5">
            <w:pPr>
              <w:jc w:val="center"/>
            </w:pPr>
            <w:r>
              <w:t>1.3</w:t>
            </w:r>
          </w:p>
        </w:tc>
        <w:tc>
          <w:tcPr>
            <w:vMerge w:val="continue"/>
            <w:vAlign w:val="center"/>
          </w:tcPr>
          <w:p w14:paraId="7D971E00">
            <w:pPr>
              <w:jc w:val="center"/>
            </w:pPr>
          </w:p>
        </w:tc>
      </w:tr>
      <w:tr w14:paraId="6243BD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1F8E262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58AC8817">
            <w:pPr>
              <w:jc w:val="center"/>
            </w:pPr>
            <w:r>
              <w:t>28.2</w:t>
            </w:r>
          </w:p>
        </w:tc>
        <w:tc>
          <w:tcPr>
            <w:vAlign w:val="center"/>
          </w:tcPr>
          <w:p w14:paraId="6FB21377">
            <w:pPr>
              <w:jc w:val="center"/>
            </w:pPr>
            <w:r>
              <w:t>56</w:t>
            </w:r>
          </w:p>
        </w:tc>
        <w:tc>
          <w:tcPr>
            <w:vAlign w:val="center"/>
          </w:tcPr>
          <w:p w14:paraId="17AEDB7E">
            <w:pPr>
              <w:jc w:val="center"/>
            </w:pPr>
            <w:r>
              <w:t>730.56</w:t>
            </w:r>
          </w:p>
        </w:tc>
        <w:tc>
          <w:tcPr>
            <w:vAlign w:val="center"/>
          </w:tcPr>
          <w:p w14:paraId="2C8A4EF9">
            <w:pPr>
              <w:jc w:val="center"/>
            </w:pPr>
            <w:r>
              <w:t>311.11</w:t>
            </w:r>
          </w:p>
        </w:tc>
        <w:tc>
          <w:tcPr>
            <w:vAlign w:val="center"/>
          </w:tcPr>
          <w:p w14:paraId="4AED6F50">
            <w:pPr>
              <w:jc w:val="center"/>
            </w:pPr>
            <w:r>
              <w:t>1.7</w:t>
            </w:r>
          </w:p>
        </w:tc>
        <w:tc>
          <w:tcPr>
            <w:vMerge w:val="continue"/>
            <w:vAlign w:val="center"/>
          </w:tcPr>
          <w:p w14:paraId="5D557BD6">
            <w:pPr>
              <w:jc w:val="center"/>
            </w:pPr>
          </w:p>
        </w:tc>
      </w:tr>
      <w:tr w14:paraId="2AA7DC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ED00FC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5CCD54A2">
            <w:pPr>
              <w:jc w:val="center"/>
            </w:pPr>
            <w:r>
              <w:t>29.4</w:t>
            </w:r>
          </w:p>
        </w:tc>
        <w:tc>
          <w:tcPr>
            <w:vAlign w:val="center"/>
          </w:tcPr>
          <w:p w14:paraId="6BC101B6">
            <w:pPr>
              <w:jc w:val="center"/>
            </w:pPr>
            <w:r>
              <w:t>55</w:t>
            </w:r>
          </w:p>
        </w:tc>
        <w:tc>
          <w:tcPr>
            <w:vAlign w:val="center"/>
          </w:tcPr>
          <w:p w14:paraId="538F4BCE">
            <w:pPr>
              <w:jc w:val="center"/>
            </w:pPr>
            <w:r>
              <w:t>722.22</w:t>
            </w:r>
          </w:p>
        </w:tc>
        <w:tc>
          <w:tcPr>
            <w:vAlign w:val="center"/>
          </w:tcPr>
          <w:p w14:paraId="6DDE90CB">
            <w:pPr>
              <w:jc w:val="center"/>
            </w:pPr>
            <w:r>
              <w:t>308.33</w:t>
            </w:r>
          </w:p>
        </w:tc>
        <w:tc>
          <w:tcPr>
            <w:vAlign w:val="center"/>
          </w:tcPr>
          <w:p w14:paraId="314F876E">
            <w:pPr>
              <w:jc w:val="center"/>
            </w:pPr>
            <w:r>
              <w:t>2.0</w:t>
            </w:r>
          </w:p>
        </w:tc>
        <w:tc>
          <w:tcPr>
            <w:vMerge w:val="continue"/>
            <w:vAlign w:val="center"/>
          </w:tcPr>
          <w:p w14:paraId="348095BF">
            <w:pPr>
              <w:jc w:val="center"/>
            </w:pPr>
          </w:p>
        </w:tc>
      </w:tr>
      <w:tr w14:paraId="565038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F4E088"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 w14:paraId="589E3250">
            <w:pPr>
              <w:jc w:val="center"/>
            </w:pPr>
            <w:r>
              <w:t>30.9</w:t>
            </w:r>
          </w:p>
        </w:tc>
        <w:tc>
          <w:tcPr>
            <w:vAlign w:val="center"/>
          </w:tcPr>
          <w:p w14:paraId="3254E132">
            <w:pPr>
              <w:jc w:val="center"/>
            </w:pPr>
            <w:r>
              <w:t>54</w:t>
            </w:r>
          </w:p>
        </w:tc>
        <w:tc>
          <w:tcPr>
            <w:vAlign w:val="center"/>
          </w:tcPr>
          <w:p w14:paraId="4DCB9D16">
            <w:pPr>
              <w:jc w:val="center"/>
            </w:pPr>
            <w:r>
              <w:t>661.11</w:t>
            </w:r>
          </w:p>
        </w:tc>
        <w:tc>
          <w:tcPr>
            <w:vAlign w:val="center"/>
          </w:tcPr>
          <w:p w14:paraId="40C5620C">
            <w:pPr>
              <w:jc w:val="center"/>
            </w:pPr>
            <w:r>
              <w:t>291.67</w:t>
            </w:r>
          </w:p>
        </w:tc>
        <w:tc>
          <w:tcPr>
            <w:vAlign w:val="center"/>
          </w:tcPr>
          <w:p w14:paraId="1123A93B">
            <w:pPr>
              <w:jc w:val="center"/>
            </w:pPr>
            <w:r>
              <w:t>2.0</w:t>
            </w:r>
          </w:p>
        </w:tc>
        <w:tc>
          <w:tcPr>
            <w:vMerge w:val="continue"/>
            <w:vAlign w:val="center"/>
          </w:tcPr>
          <w:p w14:paraId="48FEF3C0">
            <w:pPr>
              <w:jc w:val="center"/>
            </w:pPr>
          </w:p>
        </w:tc>
      </w:tr>
      <w:tr w14:paraId="6CC947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948250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40EA9CC0">
            <w:pPr>
              <w:jc w:val="center"/>
            </w:pPr>
            <w:r>
              <w:t>31.7</w:t>
            </w:r>
          </w:p>
        </w:tc>
        <w:tc>
          <w:tcPr>
            <w:vAlign w:val="center"/>
          </w:tcPr>
          <w:p w14:paraId="13DA2BD4">
            <w:pPr>
              <w:jc w:val="center"/>
            </w:pPr>
            <w:r>
              <w:t>55</w:t>
            </w:r>
          </w:p>
        </w:tc>
        <w:tc>
          <w:tcPr>
            <w:vAlign w:val="center"/>
          </w:tcPr>
          <w:p w14:paraId="7D6EDB2D">
            <w:pPr>
              <w:jc w:val="center"/>
            </w:pPr>
            <w:r>
              <w:t>552.78</w:t>
            </w:r>
          </w:p>
        </w:tc>
        <w:tc>
          <w:tcPr>
            <w:vAlign w:val="center"/>
          </w:tcPr>
          <w:p w14:paraId="2781DAD8">
            <w:pPr>
              <w:jc w:val="center"/>
            </w:pPr>
            <w:r>
              <w:t>255.56</w:t>
            </w:r>
          </w:p>
        </w:tc>
        <w:tc>
          <w:tcPr>
            <w:vAlign w:val="center"/>
          </w:tcPr>
          <w:p w14:paraId="2DDC8111">
            <w:pPr>
              <w:jc w:val="center"/>
            </w:pPr>
            <w:r>
              <w:t>2.0</w:t>
            </w:r>
          </w:p>
        </w:tc>
        <w:tc>
          <w:tcPr>
            <w:vMerge w:val="continue"/>
            <w:vAlign w:val="center"/>
          </w:tcPr>
          <w:p w14:paraId="153742B9">
            <w:pPr>
              <w:jc w:val="center"/>
            </w:pPr>
          </w:p>
        </w:tc>
      </w:tr>
      <w:tr w14:paraId="268068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9CF576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1567C5D9">
            <w:pPr>
              <w:jc w:val="center"/>
            </w:pPr>
            <w:r>
              <w:t>31.2</w:t>
            </w:r>
          </w:p>
        </w:tc>
        <w:tc>
          <w:tcPr>
            <w:vAlign w:val="center"/>
          </w:tcPr>
          <w:p w14:paraId="27F536FF">
            <w:pPr>
              <w:jc w:val="center"/>
            </w:pPr>
            <w:r>
              <w:t>57</w:t>
            </w:r>
          </w:p>
        </w:tc>
        <w:tc>
          <w:tcPr>
            <w:vAlign w:val="center"/>
          </w:tcPr>
          <w:p w14:paraId="054A247D">
            <w:pPr>
              <w:jc w:val="center"/>
            </w:pPr>
            <w:r>
              <w:t>419.44</w:t>
            </w:r>
          </w:p>
        </w:tc>
        <w:tc>
          <w:tcPr>
            <w:vAlign w:val="center"/>
          </w:tcPr>
          <w:p w14:paraId="616ABED0">
            <w:pPr>
              <w:jc w:val="center"/>
            </w:pPr>
            <w:r>
              <w:t>205.56</w:t>
            </w:r>
          </w:p>
        </w:tc>
        <w:tc>
          <w:tcPr>
            <w:vAlign w:val="center"/>
          </w:tcPr>
          <w:p w14:paraId="22D9C631">
            <w:pPr>
              <w:jc w:val="center"/>
            </w:pPr>
            <w:r>
              <w:t>2.0</w:t>
            </w:r>
          </w:p>
        </w:tc>
        <w:tc>
          <w:tcPr>
            <w:vMerge w:val="continue"/>
            <w:vAlign w:val="center"/>
          </w:tcPr>
          <w:p w14:paraId="4864683F">
            <w:pPr>
              <w:jc w:val="center"/>
            </w:pPr>
          </w:p>
        </w:tc>
      </w:tr>
      <w:tr w14:paraId="777BC7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777BC6"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 w14:paraId="6E8402B9">
            <w:pPr>
              <w:jc w:val="center"/>
            </w:pPr>
            <w:r>
              <w:t>29.6</w:t>
            </w:r>
          </w:p>
        </w:tc>
        <w:tc>
          <w:tcPr>
            <w:vAlign w:val="center"/>
          </w:tcPr>
          <w:p w14:paraId="002CEEED">
            <w:pPr>
              <w:jc w:val="center"/>
            </w:pPr>
            <w:r>
              <w:t>60</w:t>
            </w:r>
          </w:p>
        </w:tc>
        <w:tc>
          <w:tcPr>
            <w:vAlign w:val="center"/>
          </w:tcPr>
          <w:p w14:paraId="7551B6DC">
            <w:pPr>
              <w:jc w:val="center"/>
            </w:pPr>
            <w:r>
              <w:t>275.00</w:t>
            </w:r>
          </w:p>
        </w:tc>
        <w:tc>
          <w:tcPr>
            <w:vAlign w:val="center"/>
          </w:tcPr>
          <w:p w14:paraId="5D19B6AD">
            <w:pPr>
              <w:jc w:val="center"/>
            </w:pPr>
            <w:r>
              <w:t>147.22</w:t>
            </w:r>
          </w:p>
        </w:tc>
        <w:tc>
          <w:tcPr>
            <w:vAlign w:val="center"/>
          </w:tcPr>
          <w:p w14:paraId="1F509860">
            <w:pPr>
              <w:jc w:val="center"/>
            </w:pPr>
            <w:r>
              <w:t>2.0</w:t>
            </w:r>
          </w:p>
        </w:tc>
        <w:tc>
          <w:tcPr>
            <w:vMerge w:val="continue"/>
            <w:vAlign w:val="center"/>
          </w:tcPr>
          <w:p w14:paraId="1AAC27E5">
            <w:pPr>
              <w:jc w:val="center"/>
            </w:pPr>
          </w:p>
        </w:tc>
      </w:tr>
      <w:tr w14:paraId="1259B5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D0336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EF85A2C">
            <w:pPr>
              <w:jc w:val="center"/>
            </w:pPr>
            <w:r>
              <w:t>28.3</w:t>
            </w:r>
          </w:p>
        </w:tc>
        <w:tc>
          <w:tcPr>
            <w:vAlign w:val="center"/>
          </w:tcPr>
          <w:p w14:paraId="2A7DCE9F">
            <w:pPr>
              <w:jc w:val="center"/>
            </w:pPr>
            <w:r>
              <w:t>64</w:t>
            </w:r>
          </w:p>
        </w:tc>
        <w:tc>
          <w:tcPr>
            <w:vAlign w:val="center"/>
          </w:tcPr>
          <w:p w14:paraId="01441FDA">
            <w:pPr>
              <w:jc w:val="center"/>
            </w:pPr>
            <w:r>
              <w:t>136.11</w:t>
            </w:r>
          </w:p>
        </w:tc>
        <w:tc>
          <w:tcPr>
            <w:vAlign w:val="center"/>
          </w:tcPr>
          <w:p w14:paraId="2C548387">
            <w:pPr>
              <w:jc w:val="center"/>
            </w:pPr>
            <w:r>
              <w:t>77.78</w:t>
            </w:r>
          </w:p>
        </w:tc>
        <w:tc>
          <w:tcPr>
            <w:vAlign w:val="center"/>
          </w:tcPr>
          <w:p w14:paraId="337A2754">
            <w:pPr>
              <w:jc w:val="center"/>
            </w:pPr>
            <w:r>
              <w:t>2.0</w:t>
            </w:r>
          </w:p>
        </w:tc>
        <w:tc>
          <w:tcPr>
            <w:vMerge w:val="continue"/>
            <w:vAlign w:val="center"/>
          </w:tcPr>
          <w:p w14:paraId="6A09CA63">
            <w:pPr>
              <w:jc w:val="center"/>
            </w:pPr>
          </w:p>
        </w:tc>
      </w:tr>
      <w:tr w14:paraId="690F27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DE3E7B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140AB087">
            <w:pPr>
              <w:jc w:val="center"/>
            </w:pPr>
            <w:r>
              <w:t>27.6</w:t>
            </w:r>
          </w:p>
        </w:tc>
        <w:tc>
          <w:tcPr>
            <w:vAlign w:val="center"/>
          </w:tcPr>
          <w:p w14:paraId="3646C9E3">
            <w:pPr>
              <w:jc w:val="center"/>
            </w:pPr>
            <w:r>
              <w:t>67</w:t>
            </w:r>
          </w:p>
        </w:tc>
        <w:tc>
          <w:tcPr>
            <w:vAlign w:val="center"/>
          </w:tcPr>
          <w:p w14:paraId="362E3DFA">
            <w:pPr>
              <w:jc w:val="center"/>
            </w:pPr>
            <w:r>
              <w:t>22.22</w:t>
            </w:r>
          </w:p>
        </w:tc>
        <w:tc>
          <w:tcPr>
            <w:vAlign w:val="center"/>
          </w:tcPr>
          <w:p w14:paraId="50A65003">
            <w:pPr>
              <w:jc w:val="center"/>
            </w:pPr>
            <w:r>
              <w:t>13.89</w:t>
            </w:r>
          </w:p>
        </w:tc>
        <w:tc>
          <w:tcPr>
            <w:vAlign w:val="center"/>
          </w:tcPr>
          <w:p w14:paraId="244810B3">
            <w:pPr>
              <w:jc w:val="center"/>
            </w:pPr>
            <w:r>
              <w:t>2.0</w:t>
            </w:r>
          </w:p>
        </w:tc>
        <w:tc>
          <w:tcPr>
            <w:vMerge w:val="continue"/>
            <w:vAlign w:val="center"/>
          </w:tcPr>
          <w:p w14:paraId="22B05430">
            <w:pPr>
              <w:jc w:val="center"/>
            </w:pPr>
          </w:p>
        </w:tc>
      </w:tr>
      <w:tr w14:paraId="505C7A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C29DA4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ED37722">
            <w:pPr>
              <w:jc w:val="center"/>
            </w:pPr>
            <w:r>
              <w:t>27.0</w:t>
            </w:r>
          </w:p>
        </w:tc>
        <w:tc>
          <w:tcPr>
            <w:vAlign w:val="center"/>
          </w:tcPr>
          <w:p w14:paraId="0FF41757">
            <w:pPr>
              <w:jc w:val="center"/>
            </w:pPr>
            <w:r>
              <w:t>68</w:t>
            </w:r>
          </w:p>
        </w:tc>
        <w:tc>
          <w:tcPr>
            <w:vAlign w:val="center"/>
          </w:tcPr>
          <w:p w14:paraId="78AA790D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1A8AF82D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6BFEE54A">
            <w:pPr>
              <w:jc w:val="center"/>
            </w:pPr>
            <w:r>
              <w:t>2.0</w:t>
            </w:r>
          </w:p>
        </w:tc>
        <w:tc>
          <w:tcPr>
            <w:vMerge w:val="continue"/>
            <w:vAlign w:val="center"/>
          </w:tcPr>
          <w:p w14:paraId="664CD6BF">
            <w:pPr>
              <w:jc w:val="center"/>
            </w:pPr>
          </w:p>
        </w:tc>
      </w:tr>
      <w:tr w14:paraId="2BF032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6D3952"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 w14:paraId="2C8739E1">
            <w:pPr>
              <w:jc w:val="center"/>
            </w:pPr>
            <w:r>
              <w:t>26.6</w:t>
            </w:r>
          </w:p>
        </w:tc>
        <w:tc>
          <w:tcPr>
            <w:vAlign w:val="center"/>
          </w:tcPr>
          <w:p w14:paraId="1EB11AAD">
            <w:pPr>
              <w:jc w:val="center"/>
            </w:pPr>
            <w:r>
              <w:t>69</w:t>
            </w:r>
          </w:p>
        </w:tc>
        <w:tc>
          <w:tcPr>
            <w:vAlign w:val="center"/>
          </w:tcPr>
          <w:p w14:paraId="54221018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20244E17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0208164A">
            <w:pPr>
              <w:jc w:val="center"/>
            </w:pPr>
            <w:r>
              <w:t>2.0</w:t>
            </w:r>
          </w:p>
        </w:tc>
        <w:tc>
          <w:tcPr>
            <w:vMerge w:val="continue"/>
            <w:vAlign w:val="center"/>
          </w:tcPr>
          <w:p w14:paraId="7D39DD89">
            <w:pPr>
              <w:jc w:val="center"/>
            </w:pPr>
          </w:p>
        </w:tc>
      </w:tr>
      <w:tr w14:paraId="72E99E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CCED45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0E0AD27A">
            <w:pPr>
              <w:jc w:val="center"/>
            </w:pPr>
            <w:r>
              <w:t>26.3</w:t>
            </w:r>
          </w:p>
        </w:tc>
        <w:tc>
          <w:tcPr>
            <w:vAlign w:val="center"/>
          </w:tcPr>
          <w:p w14:paraId="18231400">
            <w:pPr>
              <w:jc w:val="center"/>
            </w:pPr>
            <w:r>
              <w:t>70</w:t>
            </w:r>
          </w:p>
        </w:tc>
        <w:tc>
          <w:tcPr>
            <w:vAlign w:val="center"/>
          </w:tcPr>
          <w:p w14:paraId="6B30C08A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56AB6428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15906106">
            <w:pPr>
              <w:jc w:val="center"/>
            </w:pPr>
            <w:r>
              <w:t>2.0</w:t>
            </w:r>
          </w:p>
        </w:tc>
        <w:tc>
          <w:tcPr>
            <w:vMerge w:val="continue"/>
            <w:vAlign w:val="center"/>
          </w:tcPr>
          <w:p w14:paraId="50D7166E">
            <w:pPr>
              <w:jc w:val="center"/>
            </w:pPr>
          </w:p>
        </w:tc>
      </w:tr>
      <w:tr w14:paraId="17E6A2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FD057D"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 w14:paraId="20028B08">
            <w:pPr>
              <w:jc w:val="center"/>
            </w:pPr>
            <w:r>
              <w:t>26.1</w:t>
            </w:r>
          </w:p>
        </w:tc>
        <w:tc>
          <w:tcPr>
            <w:vAlign w:val="center"/>
          </w:tcPr>
          <w:p w14:paraId="207475DF">
            <w:pPr>
              <w:jc w:val="center"/>
            </w:pPr>
            <w:r>
              <w:t>71</w:t>
            </w:r>
          </w:p>
        </w:tc>
        <w:tc>
          <w:tcPr>
            <w:vAlign w:val="center"/>
          </w:tcPr>
          <w:p w14:paraId="08D7E0C9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0DCF911B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68E1DADF">
            <w:pPr>
              <w:jc w:val="center"/>
            </w:pPr>
            <w:r>
              <w:t>2.0</w:t>
            </w:r>
          </w:p>
        </w:tc>
        <w:tc>
          <w:tcPr>
            <w:vMerge w:val="continue"/>
            <w:vAlign w:val="center"/>
          </w:tcPr>
          <w:p w14:paraId="007D4F7F">
            <w:pPr>
              <w:jc w:val="center"/>
            </w:pPr>
          </w:p>
        </w:tc>
      </w:tr>
      <w:tr w14:paraId="32C043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3B00ECD">
            <w:pPr>
              <w:jc w:val="center"/>
            </w:pPr>
            <w:r>
              <w:t>日平均</w:t>
            </w:r>
          </w:p>
        </w:tc>
        <w:tc>
          <w:tcPr>
            <w:vAlign w:val="center"/>
          </w:tcPr>
          <w:p w14:paraId="4BE1EBB1">
            <w:pPr>
              <w:jc w:val="center"/>
            </w:pPr>
            <w:r>
              <w:t>27.0</w:t>
            </w:r>
          </w:p>
        </w:tc>
        <w:tc>
          <w:tcPr>
            <w:vAlign w:val="center"/>
          </w:tcPr>
          <w:p w14:paraId="697AFAE5">
            <w:pPr>
              <w:jc w:val="center"/>
            </w:pPr>
            <w:r>
              <w:t>68</w:t>
            </w:r>
          </w:p>
        </w:tc>
        <w:tc>
          <w:tcPr>
            <w:vAlign w:val="center"/>
          </w:tcPr>
          <w:p w14:paraId="2ACB8746">
            <w:pPr>
              <w:jc w:val="center"/>
            </w:pPr>
            <w:r>
              <w:t>241.78</w:t>
            </w:r>
          </w:p>
        </w:tc>
        <w:tc>
          <w:tcPr>
            <w:vAlign w:val="center"/>
          </w:tcPr>
          <w:p w14:paraId="67CE72A9">
            <w:pPr>
              <w:jc w:val="center"/>
            </w:pPr>
            <w:r>
              <w:t>112.50</w:t>
            </w:r>
          </w:p>
        </w:tc>
        <w:tc>
          <w:tcPr>
            <w:vAlign w:val="center"/>
          </w:tcPr>
          <w:p w14:paraId="6A2D0A44">
            <w:pPr>
              <w:jc w:val="center"/>
            </w:pPr>
            <w:r>
              <w:t>1.5</w:t>
            </w:r>
          </w:p>
        </w:tc>
        <w:tc>
          <w:tcPr>
            <w:vMerge w:val="continue"/>
            <w:vAlign w:val="center"/>
          </w:tcPr>
          <w:p w14:paraId="3A5A2CEF">
            <w:pPr>
              <w:jc w:val="center"/>
            </w:pPr>
          </w:p>
        </w:tc>
      </w:tr>
    </w:tbl>
    <w:p w14:paraId="75010CC1">
      <w:pPr>
        <w:pStyle w:val="3"/>
        <w:ind w:firstLine="0" w:firstLineChars="0"/>
        <w:rPr>
          <w:lang w:val="en-US"/>
        </w:rPr>
      </w:pPr>
      <w:bookmarkStart w:id="31" w:name="气象参数"/>
      <w:bookmarkEnd w:id="31"/>
    </w:p>
    <w:p w14:paraId="44534F6F">
      <w:pPr>
        <w:pStyle w:val="4"/>
      </w:pPr>
      <w:bookmarkStart w:id="32" w:name="_Toc3538"/>
      <w:r>
        <w:rPr>
          <w:rFonts w:hint="eastAsia"/>
        </w:rPr>
        <w:t>渗透面夏季逐时蒸发量</w:t>
      </w:r>
      <w:bookmarkEnd w:id="32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3B654A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6D6C9E0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22E83D02">
            <w:pPr>
              <w:jc w:val="center"/>
            </w:pPr>
            <w:r>
              <w:t>水面(kg/(㎡.h))</w:t>
            </w:r>
          </w:p>
        </w:tc>
        <w:tc>
          <w:tcPr>
            <w:shd w:val="clear" w:color="auto" w:fill="E6E6E6"/>
            <w:vAlign w:val="center"/>
          </w:tcPr>
          <w:p w14:paraId="466947F1">
            <w:pPr>
              <w:jc w:val="center"/>
            </w:pPr>
            <w:r>
              <w:t>绿地(kg/(㎡.h))</w:t>
            </w:r>
          </w:p>
        </w:tc>
        <w:tc>
          <w:tcPr>
            <w:shd w:val="clear" w:color="auto" w:fill="E6E6E6"/>
            <w:vAlign w:val="center"/>
          </w:tcPr>
          <w:p w14:paraId="4459B551">
            <w:pPr>
              <w:jc w:val="center"/>
            </w:pPr>
            <w:r>
              <w:t>渗透型硬地</w:t>
            </w:r>
            <w:r>
              <w:br w:type="textWrapping"/>
            </w:r>
            <w:r>
              <w:t>(kg/(㎡.h))</w:t>
            </w:r>
          </w:p>
        </w:tc>
        <w:tc>
          <w:tcPr>
            <w:shd w:val="clear" w:color="auto" w:fill="E6E6E6"/>
            <w:vAlign w:val="center"/>
          </w:tcPr>
          <w:p w14:paraId="22283D0F">
            <w:pPr>
              <w:jc w:val="center"/>
            </w:pPr>
            <w:r>
              <w:t>绿化屋面</w:t>
            </w:r>
            <w:r>
              <w:br w:type="textWrapping"/>
            </w:r>
            <w:r>
              <w:t>(kg/(㎡.h))</w:t>
            </w:r>
          </w:p>
        </w:tc>
      </w:tr>
      <w:tr w14:paraId="59E001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D6E2FA">
            <w:pPr>
              <w:jc w:val="center"/>
            </w:pPr>
            <w:r>
              <w:t>0</w:t>
            </w:r>
          </w:p>
        </w:tc>
        <w:tc>
          <w:tcPr>
            <w:vAlign w:val="center"/>
          </w:tcPr>
          <w:p w14:paraId="4A58D58C"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 w14:paraId="66A671EF">
            <w:pPr>
              <w:jc w:val="center"/>
            </w:pPr>
            <w:r>
              <w:t>0.28</w:t>
            </w:r>
          </w:p>
        </w:tc>
        <w:tc>
          <w:tcPr>
            <w:vAlign w:val="center"/>
          </w:tcPr>
          <w:p w14:paraId="2975B5B4"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 w14:paraId="0E4EA90D">
            <w:pPr>
              <w:jc w:val="center"/>
            </w:pPr>
            <w:r>
              <w:t>0.22</w:t>
            </w:r>
          </w:p>
        </w:tc>
      </w:tr>
      <w:tr w14:paraId="0AF992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6791D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9B2F12F">
            <w:pPr>
              <w:jc w:val="center"/>
            </w:pPr>
            <w:r>
              <w:t>0.12</w:t>
            </w:r>
          </w:p>
        </w:tc>
        <w:tc>
          <w:tcPr>
            <w:vAlign w:val="center"/>
          </w:tcPr>
          <w:p w14:paraId="7C288E53">
            <w:pPr>
              <w:jc w:val="center"/>
            </w:pPr>
            <w:r>
              <w:t>0.20</w:t>
            </w:r>
          </w:p>
        </w:tc>
        <w:tc>
          <w:tcPr>
            <w:vAlign w:val="center"/>
          </w:tcPr>
          <w:p w14:paraId="06A9E76C"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 w14:paraId="460D3100">
            <w:pPr>
              <w:jc w:val="center"/>
            </w:pPr>
            <w:r>
              <w:t>0.16</w:t>
            </w:r>
          </w:p>
        </w:tc>
      </w:tr>
      <w:tr w14:paraId="5174BA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24592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48787A1">
            <w:pPr>
              <w:jc w:val="center"/>
            </w:pPr>
            <w:r>
              <w:t>0.12</w:t>
            </w:r>
          </w:p>
        </w:tc>
        <w:tc>
          <w:tcPr>
            <w:vAlign w:val="center"/>
          </w:tcPr>
          <w:p w14:paraId="5C4E53C0">
            <w:pPr>
              <w:jc w:val="center"/>
            </w:pPr>
            <w:r>
              <w:t>0.19</w:t>
            </w:r>
          </w:p>
        </w:tc>
        <w:tc>
          <w:tcPr>
            <w:vAlign w:val="center"/>
          </w:tcPr>
          <w:p w14:paraId="00A95DC6"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 w14:paraId="370B07CE">
            <w:pPr>
              <w:jc w:val="center"/>
            </w:pPr>
            <w:r>
              <w:t>0.16</w:t>
            </w:r>
          </w:p>
        </w:tc>
      </w:tr>
      <w:tr w14:paraId="753BDC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8090E1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B5EC348"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 w14:paraId="39F771DA">
            <w:pPr>
              <w:jc w:val="center"/>
            </w:pPr>
            <w:r>
              <w:t>0.18</w:t>
            </w:r>
          </w:p>
        </w:tc>
        <w:tc>
          <w:tcPr>
            <w:vAlign w:val="center"/>
          </w:tcPr>
          <w:p w14:paraId="5A75521E">
            <w:pPr>
              <w:jc w:val="center"/>
            </w:pPr>
            <w:r>
              <w:t>0.08</w:t>
            </w:r>
          </w:p>
        </w:tc>
        <w:tc>
          <w:tcPr>
            <w:vAlign w:val="center"/>
          </w:tcPr>
          <w:p w14:paraId="34EA3541">
            <w:pPr>
              <w:jc w:val="center"/>
            </w:pPr>
            <w:r>
              <w:t>0.15</w:t>
            </w:r>
          </w:p>
        </w:tc>
      </w:tr>
      <w:tr w14:paraId="1A7A5D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FCDAC6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4C67400">
            <w:pPr>
              <w:jc w:val="center"/>
            </w:pPr>
            <w:r>
              <w:t>0.11</w:t>
            </w:r>
          </w:p>
        </w:tc>
        <w:tc>
          <w:tcPr>
            <w:vAlign w:val="center"/>
          </w:tcPr>
          <w:p w14:paraId="274F3AEC">
            <w:pPr>
              <w:jc w:val="center"/>
            </w:pPr>
            <w:r>
              <w:t>0.21</w:t>
            </w:r>
          </w:p>
        </w:tc>
        <w:tc>
          <w:tcPr>
            <w:vAlign w:val="center"/>
          </w:tcPr>
          <w:p w14:paraId="41E21D71"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 w14:paraId="7A651EB4">
            <w:pPr>
              <w:jc w:val="center"/>
            </w:pPr>
            <w:r>
              <w:t>0.17</w:t>
            </w:r>
          </w:p>
        </w:tc>
      </w:tr>
      <w:tr w14:paraId="27224E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E4870C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2A00EB60">
            <w:pPr>
              <w:jc w:val="center"/>
            </w:pPr>
            <w:r>
              <w:t>0.16</w:t>
            </w:r>
          </w:p>
        </w:tc>
        <w:tc>
          <w:tcPr>
            <w:vAlign w:val="center"/>
          </w:tcPr>
          <w:p w14:paraId="6A21A492">
            <w:pPr>
              <w:jc w:val="center"/>
            </w:pPr>
            <w:r>
              <w:t>0.26</w:t>
            </w:r>
          </w:p>
        </w:tc>
        <w:tc>
          <w:tcPr>
            <w:vAlign w:val="center"/>
          </w:tcPr>
          <w:p w14:paraId="7231DD80"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 w14:paraId="59866BD1">
            <w:pPr>
              <w:jc w:val="center"/>
            </w:pPr>
            <w:r>
              <w:t>0.20</w:t>
            </w:r>
          </w:p>
        </w:tc>
      </w:tr>
      <w:tr w14:paraId="112074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F77201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3502E8AB">
            <w:pPr>
              <w:jc w:val="center"/>
            </w:pPr>
            <w:r>
              <w:t>0.28</w:t>
            </w:r>
          </w:p>
        </w:tc>
        <w:tc>
          <w:tcPr>
            <w:vAlign w:val="center"/>
          </w:tcPr>
          <w:p w14:paraId="3669BADD"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 w14:paraId="71EB5E99">
            <w:pPr>
              <w:jc w:val="center"/>
            </w:pPr>
            <w:r>
              <w:t>0.12</w:t>
            </w:r>
          </w:p>
        </w:tc>
        <w:tc>
          <w:tcPr>
            <w:vAlign w:val="center"/>
          </w:tcPr>
          <w:p w14:paraId="38C32965">
            <w:pPr>
              <w:jc w:val="center"/>
            </w:pPr>
            <w:r>
              <w:t>0.28</w:t>
            </w:r>
          </w:p>
        </w:tc>
      </w:tr>
      <w:tr w14:paraId="778100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A92C17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1174DA93">
            <w:pPr>
              <w:jc w:val="center"/>
            </w:pPr>
            <w:r>
              <w:t>0.45</w:t>
            </w:r>
          </w:p>
        </w:tc>
        <w:tc>
          <w:tcPr>
            <w:vAlign w:val="center"/>
          </w:tcPr>
          <w:p w14:paraId="010FE5AE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5BC8361E"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 w14:paraId="4DBC5787">
            <w:pPr>
              <w:jc w:val="center"/>
            </w:pPr>
            <w:r>
              <w:t>0.35</w:t>
            </w:r>
          </w:p>
        </w:tc>
      </w:tr>
      <w:tr w14:paraId="532E94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7529C8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3239CBB5">
            <w:pPr>
              <w:jc w:val="center"/>
            </w:pPr>
            <w:r>
              <w:t>0.65</w:t>
            </w:r>
          </w:p>
        </w:tc>
        <w:tc>
          <w:tcPr>
            <w:vAlign w:val="center"/>
          </w:tcPr>
          <w:p w14:paraId="649A6A7B">
            <w:pPr>
              <w:jc w:val="center"/>
            </w:pPr>
            <w:r>
              <w:t>0.56</w:t>
            </w:r>
          </w:p>
        </w:tc>
        <w:tc>
          <w:tcPr>
            <w:vAlign w:val="center"/>
          </w:tcPr>
          <w:p w14:paraId="7B91C660"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 w14:paraId="5B693911">
            <w:pPr>
              <w:jc w:val="center"/>
            </w:pPr>
            <w:r>
              <w:t>0.45</w:t>
            </w:r>
          </w:p>
        </w:tc>
      </w:tr>
      <w:tr w14:paraId="6E1FEB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8AB3841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3CB4C78D">
            <w:pPr>
              <w:jc w:val="center"/>
            </w:pPr>
            <w:r>
              <w:t>0.86</w:t>
            </w:r>
          </w:p>
        </w:tc>
        <w:tc>
          <w:tcPr>
            <w:vAlign w:val="center"/>
          </w:tcPr>
          <w:p w14:paraId="5F69FB7B">
            <w:pPr>
              <w:jc w:val="center"/>
            </w:pPr>
            <w:r>
              <w:t>0.65</w:t>
            </w:r>
          </w:p>
        </w:tc>
        <w:tc>
          <w:tcPr>
            <w:vAlign w:val="center"/>
          </w:tcPr>
          <w:p w14:paraId="1ADB5D1A"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 w14:paraId="0EC44183">
            <w:pPr>
              <w:jc w:val="center"/>
            </w:pPr>
            <w:r>
              <w:t>0.52</w:t>
            </w:r>
          </w:p>
        </w:tc>
      </w:tr>
      <w:tr w14:paraId="364554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E75B38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39081FA8">
            <w:pPr>
              <w:jc w:val="center"/>
            </w:pPr>
            <w:r>
              <w:t>1.02</w:t>
            </w:r>
          </w:p>
        </w:tc>
        <w:tc>
          <w:tcPr>
            <w:vAlign w:val="center"/>
          </w:tcPr>
          <w:p w14:paraId="06B6F769">
            <w:pPr>
              <w:jc w:val="center"/>
            </w:pPr>
            <w:r>
              <w:t>0.69</w:t>
            </w:r>
          </w:p>
        </w:tc>
        <w:tc>
          <w:tcPr>
            <w:vAlign w:val="center"/>
          </w:tcPr>
          <w:p w14:paraId="416E5657"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 w14:paraId="57FC4BF7">
            <w:pPr>
              <w:jc w:val="center"/>
            </w:pPr>
            <w:r>
              <w:t>0.55</w:t>
            </w:r>
          </w:p>
        </w:tc>
      </w:tr>
      <w:tr w14:paraId="056165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97E078C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413D5FB0">
            <w:pPr>
              <w:jc w:val="center"/>
            </w:pPr>
            <w:r>
              <w:t>1.15</w:t>
            </w:r>
          </w:p>
        </w:tc>
        <w:tc>
          <w:tcPr>
            <w:vAlign w:val="center"/>
          </w:tcPr>
          <w:p w14:paraId="2A40A739">
            <w:pPr>
              <w:jc w:val="center"/>
            </w:pPr>
            <w:r>
              <w:t>0.65</w:t>
            </w:r>
          </w:p>
        </w:tc>
        <w:tc>
          <w:tcPr>
            <w:vAlign w:val="center"/>
          </w:tcPr>
          <w:p w14:paraId="4ED9B640">
            <w:pPr>
              <w:jc w:val="center"/>
            </w:pPr>
            <w:r>
              <w:t>0.12</w:t>
            </w:r>
          </w:p>
        </w:tc>
        <w:tc>
          <w:tcPr>
            <w:vAlign w:val="center"/>
          </w:tcPr>
          <w:p w14:paraId="38BB5018">
            <w:pPr>
              <w:jc w:val="center"/>
            </w:pPr>
            <w:r>
              <w:t>0.52</w:t>
            </w:r>
          </w:p>
        </w:tc>
      </w:tr>
      <w:tr w14:paraId="466ECC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BF97B6D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64316D5E">
            <w:pPr>
              <w:jc w:val="center"/>
            </w:pPr>
            <w:r>
              <w:t>1.18</w:t>
            </w:r>
          </w:p>
        </w:tc>
        <w:tc>
          <w:tcPr>
            <w:vAlign w:val="center"/>
          </w:tcPr>
          <w:p w14:paraId="43BEA501">
            <w:pPr>
              <w:jc w:val="center"/>
            </w:pPr>
            <w:r>
              <w:t>0.59</w:t>
            </w:r>
          </w:p>
        </w:tc>
        <w:tc>
          <w:tcPr>
            <w:vAlign w:val="center"/>
          </w:tcPr>
          <w:p w14:paraId="1166D9C8">
            <w:pPr>
              <w:jc w:val="center"/>
            </w:pPr>
            <w:r>
              <w:t>0.09</w:t>
            </w:r>
          </w:p>
        </w:tc>
        <w:tc>
          <w:tcPr>
            <w:vAlign w:val="center"/>
          </w:tcPr>
          <w:p w14:paraId="11BB16E2">
            <w:pPr>
              <w:jc w:val="center"/>
            </w:pPr>
            <w:r>
              <w:t>0.47</w:t>
            </w:r>
          </w:p>
        </w:tc>
      </w:tr>
      <w:tr w14:paraId="129D02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9E1228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6FF3BBAE">
            <w:pPr>
              <w:jc w:val="center"/>
            </w:pPr>
            <w:r>
              <w:t>1.15</w:t>
            </w:r>
          </w:p>
        </w:tc>
        <w:tc>
          <w:tcPr>
            <w:vAlign w:val="center"/>
          </w:tcPr>
          <w:p w14:paraId="163882BD">
            <w:pPr>
              <w:jc w:val="center"/>
            </w:pPr>
            <w:r>
              <w:t>0.52</w:t>
            </w:r>
          </w:p>
        </w:tc>
        <w:tc>
          <w:tcPr>
            <w:vAlign w:val="center"/>
          </w:tcPr>
          <w:p w14:paraId="0809C68E"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 w14:paraId="7BB8DD48">
            <w:pPr>
              <w:jc w:val="center"/>
            </w:pPr>
            <w:r>
              <w:t>0.42</w:t>
            </w:r>
          </w:p>
        </w:tc>
      </w:tr>
      <w:tr w14:paraId="38523A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957096"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 w14:paraId="7C26FD29">
            <w:pPr>
              <w:jc w:val="center"/>
            </w:pPr>
            <w:r>
              <w:t>1.05</w:t>
            </w:r>
          </w:p>
        </w:tc>
        <w:tc>
          <w:tcPr>
            <w:vAlign w:val="center"/>
          </w:tcPr>
          <w:p w14:paraId="68867B72">
            <w:pPr>
              <w:jc w:val="center"/>
            </w:pPr>
            <w:r>
              <w:t>0.40</w:t>
            </w:r>
          </w:p>
        </w:tc>
        <w:tc>
          <w:tcPr>
            <w:vAlign w:val="center"/>
          </w:tcPr>
          <w:p w14:paraId="0373CDCD"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 w14:paraId="256978C9">
            <w:pPr>
              <w:jc w:val="center"/>
            </w:pPr>
            <w:r>
              <w:t>0.32</w:t>
            </w:r>
          </w:p>
        </w:tc>
      </w:tr>
      <w:tr w14:paraId="34EDBC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8DEBFA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515A4FA8">
            <w:pPr>
              <w:jc w:val="center"/>
            </w:pPr>
            <w:r>
              <w:t>0.93</w:t>
            </w:r>
          </w:p>
        </w:tc>
        <w:tc>
          <w:tcPr>
            <w:vAlign w:val="center"/>
          </w:tcPr>
          <w:p w14:paraId="3320C407"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 w14:paraId="2F5BB442">
            <w:pPr>
              <w:jc w:val="center"/>
            </w:pPr>
            <w:r>
              <w:t>0.04</w:t>
            </w:r>
          </w:p>
        </w:tc>
        <w:tc>
          <w:tcPr>
            <w:vAlign w:val="center"/>
          </w:tcPr>
          <w:p w14:paraId="4042763D">
            <w:pPr>
              <w:jc w:val="center"/>
            </w:pPr>
            <w:r>
              <w:t>0.28</w:t>
            </w:r>
          </w:p>
        </w:tc>
      </w:tr>
      <w:tr w14:paraId="05CC1B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CA76EE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048FF086">
            <w:pPr>
              <w:jc w:val="center"/>
            </w:pPr>
            <w:r>
              <w:t>0.75</w:t>
            </w:r>
          </w:p>
        </w:tc>
        <w:tc>
          <w:tcPr>
            <w:vAlign w:val="center"/>
          </w:tcPr>
          <w:p w14:paraId="480DCC4A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62AE8B2C">
            <w:pPr>
              <w:jc w:val="center"/>
            </w:pPr>
            <w:r>
              <w:t>0.03</w:t>
            </w:r>
          </w:p>
        </w:tc>
        <w:tc>
          <w:tcPr>
            <w:vAlign w:val="center"/>
          </w:tcPr>
          <w:p w14:paraId="3FA603A5">
            <w:pPr>
              <w:jc w:val="center"/>
            </w:pPr>
            <w:r>
              <w:t>0.20</w:t>
            </w:r>
          </w:p>
        </w:tc>
      </w:tr>
      <w:tr w14:paraId="3E4985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0F15AE"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 w14:paraId="7F2C3C0A">
            <w:pPr>
              <w:jc w:val="center"/>
            </w:pPr>
            <w:r>
              <w:t>0.60</w:t>
            </w:r>
          </w:p>
        </w:tc>
        <w:tc>
          <w:tcPr>
            <w:vAlign w:val="center"/>
          </w:tcPr>
          <w:p w14:paraId="46C9B358">
            <w:pPr>
              <w:jc w:val="center"/>
            </w:pPr>
            <w:r>
              <w:t>0.21</w:t>
            </w:r>
          </w:p>
        </w:tc>
        <w:tc>
          <w:tcPr>
            <w:vAlign w:val="center"/>
          </w:tcPr>
          <w:p w14:paraId="0BB0987B">
            <w:pPr>
              <w:jc w:val="center"/>
            </w:pPr>
            <w:r>
              <w:t>0.03</w:t>
            </w:r>
          </w:p>
        </w:tc>
        <w:tc>
          <w:tcPr>
            <w:vAlign w:val="center"/>
          </w:tcPr>
          <w:p w14:paraId="432548F7">
            <w:pPr>
              <w:jc w:val="center"/>
            </w:pPr>
            <w:r>
              <w:t>0.17</w:t>
            </w:r>
          </w:p>
        </w:tc>
      </w:tr>
      <w:tr w14:paraId="73EC03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FB98B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058861E">
            <w:pPr>
              <w:jc w:val="center"/>
            </w:pPr>
            <w:r>
              <w:t>0.51</w:t>
            </w:r>
          </w:p>
        </w:tc>
        <w:tc>
          <w:tcPr>
            <w:vAlign w:val="center"/>
          </w:tcPr>
          <w:p w14:paraId="30DDB61A">
            <w:pPr>
              <w:jc w:val="center"/>
            </w:pPr>
            <w:r>
              <w:t>0.17</w:t>
            </w:r>
          </w:p>
        </w:tc>
        <w:tc>
          <w:tcPr>
            <w:vAlign w:val="center"/>
          </w:tcPr>
          <w:p w14:paraId="36CCB546">
            <w:pPr>
              <w:jc w:val="center"/>
            </w:pPr>
            <w:r>
              <w:t>0.02</w:t>
            </w:r>
          </w:p>
        </w:tc>
        <w:tc>
          <w:tcPr>
            <w:vAlign w:val="center"/>
          </w:tcPr>
          <w:p w14:paraId="26AEA934">
            <w:pPr>
              <w:jc w:val="center"/>
            </w:pPr>
            <w:r>
              <w:t>0.14</w:t>
            </w:r>
          </w:p>
        </w:tc>
      </w:tr>
      <w:tr w14:paraId="7319BA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ECDEDA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708894C5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5237BEB7"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 w14:paraId="0A19553A">
            <w:pPr>
              <w:jc w:val="center"/>
            </w:pPr>
            <w:r>
              <w:t>0.01</w:t>
            </w:r>
          </w:p>
        </w:tc>
        <w:tc>
          <w:tcPr>
            <w:vAlign w:val="center"/>
          </w:tcPr>
          <w:p w14:paraId="352BEF85">
            <w:pPr>
              <w:jc w:val="center"/>
            </w:pPr>
            <w:r>
              <w:t>0.11</w:t>
            </w:r>
          </w:p>
        </w:tc>
      </w:tr>
      <w:tr w14:paraId="191F43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126485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0323CCC"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 w14:paraId="5F1E0221">
            <w:pPr>
              <w:jc w:val="center"/>
            </w:pPr>
            <w:r>
              <w:t>0.12</w:t>
            </w:r>
          </w:p>
        </w:tc>
        <w:tc>
          <w:tcPr>
            <w:vAlign w:val="center"/>
          </w:tcPr>
          <w:p w14:paraId="26845E01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34DADD00">
            <w:pPr>
              <w:jc w:val="center"/>
            </w:pPr>
            <w:r>
              <w:t>0.09</w:t>
            </w:r>
          </w:p>
        </w:tc>
      </w:tr>
      <w:tr w14:paraId="1935A5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471269"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 w14:paraId="1234DD41">
            <w:pPr>
              <w:jc w:val="center"/>
            </w:pPr>
            <w:r>
              <w:t>0.22</w:t>
            </w:r>
          </w:p>
        </w:tc>
        <w:tc>
          <w:tcPr>
            <w:vAlign w:val="center"/>
          </w:tcPr>
          <w:p w14:paraId="3C8FFBFA">
            <w:pPr>
              <w:jc w:val="center"/>
            </w:pPr>
            <w:r>
              <w:t>0.11</w:t>
            </w:r>
          </w:p>
        </w:tc>
        <w:tc>
          <w:tcPr>
            <w:vAlign w:val="center"/>
          </w:tcPr>
          <w:p w14:paraId="7827588C">
            <w:pPr>
              <w:jc w:val="center"/>
            </w:pPr>
            <w:r>
              <w:t>0.01</w:t>
            </w:r>
          </w:p>
        </w:tc>
        <w:tc>
          <w:tcPr>
            <w:vAlign w:val="center"/>
          </w:tcPr>
          <w:p w14:paraId="72D68AC9">
            <w:pPr>
              <w:jc w:val="center"/>
            </w:pPr>
            <w:r>
              <w:t>0.09</w:t>
            </w:r>
          </w:p>
        </w:tc>
      </w:tr>
      <w:tr w14:paraId="762B7E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25072C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4FBDA8DC">
            <w:pPr>
              <w:jc w:val="center"/>
            </w:pPr>
            <w:r>
              <w:t>0.18</w:t>
            </w:r>
          </w:p>
        </w:tc>
        <w:tc>
          <w:tcPr>
            <w:vAlign w:val="center"/>
          </w:tcPr>
          <w:p w14:paraId="04E572FE">
            <w:pPr>
              <w:jc w:val="center"/>
            </w:pPr>
            <w:r>
              <w:t>0.08</w:t>
            </w:r>
          </w:p>
        </w:tc>
        <w:tc>
          <w:tcPr>
            <w:vAlign w:val="center"/>
          </w:tcPr>
          <w:p w14:paraId="05BF2C82">
            <w:pPr>
              <w:jc w:val="center"/>
            </w:pPr>
            <w:r>
              <w:t>0.01</w:t>
            </w:r>
          </w:p>
        </w:tc>
        <w:tc>
          <w:tcPr>
            <w:vAlign w:val="center"/>
          </w:tcPr>
          <w:p w14:paraId="3E60BE87">
            <w:pPr>
              <w:jc w:val="center"/>
            </w:pPr>
            <w:r>
              <w:t>0.06</w:t>
            </w:r>
          </w:p>
        </w:tc>
      </w:tr>
      <w:tr w14:paraId="6E145E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FA8DFD"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 w14:paraId="6665A03A">
            <w:pPr>
              <w:jc w:val="center"/>
            </w:pPr>
            <w:r>
              <w:t>0.15</w:t>
            </w:r>
          </w:p>
        </w:tc>
        <w:tc>
          <w:tcPr>
            <w:vAlign w:val="center"/>
          </w:tcPr>
          <w:p w14:paraId="2CC77525"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 w14:paraId="0334AABA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79A37511">
            <w:pPr>
              <w:jc w:val="center"/>
            </w:pPr>
            <w:r>
              <w:t>0.08</w:t>
            </w:r>
          </w:p>
        </w:tc>
      </w:tr>
      <w:tr w14:paraId="1ADE7F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1822AC">
            <w:pPr>
              <w:jc w:val="center"/>
            </w:pPr>
            <w:r>
              <w:t>日累计(kg/(㎡.d))</w:t>
            </w:r>
          </w:p>
        </w:tc>
        <w:tc>
          <w:tcPr>
            <w:vAlign w:val="center"/>
          </w:tcPr>
          <w:p w14:paraId="67E822DC">
            <w:pPr>
              <w:jc w:val="center"/>
            </w:pPr>
            <w:r>
              <w:t>12.50</w:t>
            </w:r>
          </w:p>
        </w:tc>
        <w:tc>
          <w:tcPr>
            <w:vAlign w:val="center"/>
          </w:tcPr>
          <w:p w14:paraId="27E16C3E">
            <w:pPr>
              <w:jc w:val="center"/>
            </w:pPr>
            <w:r>
              <w:t>7.70</w:t>
            </w:r>
          </w:p>
        </w:tc>
        <w:tc>
          <w:tcPr>
            <w:vAlign w:val="center"/>
          </w:tcPr>
          <w:p w14:paraId="2AE768DA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441B60A9">
            <w:pPr>
              <w:jc w:val="center"/>
            </w:pPr>
            <w:r>
              <w:t>6.16</w:t>
            </w:r>
          </w:p>
        </w:tc>
      </w:tr>
    </w:tbl>
    <w:p w14:paraId="4B1B30F6">
      <w:pPr>
        <w:pStyle w:val="3"/>
        <w:ind w:firstLine="0" w:firstLineChars="0"/>
        <w:rPr>
          <w:lang w:val="en-US"/>
        </w:rPr>
      </w:pPr>
      <w:bookmarkStart w:id="33" w:name="蒸发量参数"/>
      <w:bookmarkEnd w:id="33"/>
    </w:p>
    <w:p w14:paraId="6D322CD3">
      <w:pPr>
        <w:pStyle w:val="2"/>
      </w:pPr>
      <w:bookmarkStart w:id="34" w:name="_Toc18994"/>
      <w:r>
        <w:rPr>
          <w:rFonts w:hint="eastAsia"/>
        </w:rPr>
        <w:t>住区指标概览</w:t>
      </w:r>
      <w:bookmarkEnd w:id="34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6"/>
        <w:gridCol w:w="4666"/>
      </w:tblGrid>
      <w:tr w14:paraId="4B800E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E74BC7">
            <w:pPr>
              <w:jc w:val="center"/>
            </w:pPr>
            <w:r>
              <w:t>指标</w:t>
            </w:r>
          </w:p>
        </w:tc>
        <w:tc>
          <w:tcPr>
            <w:shd w:val="clear" w:color="auto" w:fill="E6E6E6"/>
            <w:vAlign w:val="center"/>
          </w:tcPr>
          <w:p w14:paraId="6D23BFE1">
            <w:pPr>
              <w:jc w:val="center"/>
            </w:pPr>
            <w:r>
              <w:t>值</w:t>
            </w:r>
          </w:p>
        </w:tc>
      </w:tr>
      <w:tr w14:paraId="756D90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DFC507">
            <w:r>
              <w:t>地块面积(㎡)</w:t>
            </w:r>
          </w:p>
        </w:tc>
        <w:tc>
          <w:tcPr>
            <w:vAlign w:val="center"/>
          </w:tcPr>
          <w:p w14:paraId="28AF48C5">
            <w:r>
              <w:t>32700.38</w:t>
            </w:r>
          </w:p>
        </w:tc>
      </w:tr>
      <w:tr w14:paraId="6B48C3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393683">
            <w:r>
              <w:t>建筑密度</w:t>
            </w:r>
          </w:p>
        </w:tc>
        <w:tc>
          <w:tcPr>
            <w:vAlign w:val="center"/>
          </w:tcPr>
          <w:p w14:paraId="19776FBE">
            <w:r>
              <w:t>0.27</w:t>
            </w:r>
          </w:p>
        </w:tc>
      </w:tr>
      <w:tr w14:paraId="2BC16C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EE7327">
            <w:r>
              <w:t>室外面积(㎡)</w:t>
            </w:r>
          </w:p>
        </w:tc>
        <w:tc>
          <w:tcPr>
            <w:vAlign w:val="center"/>
          </w:tcPr>
          <w:p w14:paraId="67E511C9">
            <w:r>
              <w:t>23965.90</w:t>
            </w:r>
          </w:p>
        </w:tc>
      </w:tr>
      <w:tr w14:paraId="4A1F9E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A6C880">
            <w:r>
              <w:t>人行道面积(㎡)</w:t>
            </w:r>
          </w:p>
        </w:tc>
        <w:tc>
          <w:tcPr>
            <w:vAlign w:val="center"/>
          </w:tcPr>
          <w:p w14:paraId="08B07504">
            <w:r>
              <w:t>2383.85</w:t>
            </w:r>
          </w:p>
        </w:tc>
      </w:tr>
      <w:tr w14:paraId="7666B0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B5E18A3">
            <w:r>
              <w:t>草地面积(㎡)</w:t>
            </w:r>
          </w:p>
        </w:tc>
        <w:tc>
          <w:tcPr>
            <w:vAlign w:val="center"/>
          </w:tcPr>
          <w:p w14:paraId="5FB92EEE">
            <w:r>
              <w:t>17484.96</w:t>
            </w:r>
          </w:p>
        </w:tc>
      </w:tr>
      <w:tr w14:paraId="43D43A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E133D9">
            <w:r>
              <w:t>水面面积(㎡)</w:t>
            </w:r>
          </w:p>
        </w:tc>
        <w:tc>
          <w:tcPr>
            <w:vAlign w:val="center"/>
          </w:tcPr>
          <w:p w14:paraId="2150F34F">
            <w:r>
              <w:t>0.00</w:t>
            </w:r>
          </w:p>
        </w:tc>
      </w:tr>
      <w:tr w14:paraId="3C1137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132CE7">
            <w:r>
              <w:t>乔木面积(㎡)</w:t>
            </w:r>
          </w:p>
        </w:tc>
        <w:tc>
          <w:tcPr>
            <w:vAlign w:val="center"/>
          </w:tcPr>
          <w:p w14:paraId="5F60A40F">
            <w:r>
              <w:t>0.00</w:t>
            </w:r>
          </w:p>
        </w:tc>
      </w:tr>
      <w:tr w14:paraId="61DD05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CEDD06">
            <w:r>
              <w:t>亭廊面积(㎡)</w:t>
            </w:r>
          </w:p>
        </w:tc>
        <w:tc>
          <w:tcPr>
            <w:vAlign w:val="center"/>
          </w:tcPr>
          <w:p w14:paraId="2582B306">
            <w:r>
              <w:t>0.00</w:t>
            </w:r>
          </w:p>
        </w:tc>
      </w:tr>
      <w:tr w14:paraId="252557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17E0A95">
            <w:r>
              <w:t>爬藤棚架面积(㎡)</w:t>
            </w:r>
          </w:p>
        </w:tc>
        <w:tc>
          <w:tcPr>
            <w:vAlign w:val="center"/>
          </w:tcPr>
          <w:p w14:paraId="42B5262E">
            <w:r>
              <w:t>4766.79</w:t>
            </w:r>
          </w:p>
        </w:tc>
      </w:tr>
      <w:tr w14:paraId="0FC4A8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F7D8CB4">
            <w:r>
              <w:t>屋顶绿化面积(㎡)</w:t>
            </w:r>
          </w:p>
        </w:tc>
        <w:tc>
          <w:tcPr>
            <w:vAlign w:val="center"/>
          </w:tcPr>
          <w:p w14:paraId="0FB3CDC3">
            <w:r>
              <w:t>5508.90</w:t>
            </w:r>
          </w:p>
        </w:tc>
      </w:tr>
      <w:tr w14:paraId="3CB2BC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C09337">
            <w:r>
              <w:t>渗透性硬地面积(㎡)</w:t>
            </w:r>
          </w:p>
        </w:tc>
        <w:tc>
          <w:tcPr>
            <w:vAlign w:val="center"/>
          </w:tcPr>
          <w:p w14:paraId="1D626D76">
            <w:r>
              <w:t>2383.85</w:t>
            </w:r>
          </w:p>
        </w:tc>
      </w:tr>
      <w:tr w14:paraId="4DE99A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86712FD">
            <w:r>
              <w:t>绿化遮阳覆盖率(%)</w:t>
            </w:r>
          </w:p>
        </w:tc>
        <w:tc>
          <w:tcPr>
            <w:vAlign w:val="center"/>
          </w:tcPr>
          <w:p w14:paraId="578E889E">
            <w:r>
              <w:t>19.89</w:t>
            </w:r>
          </w:p>
        </w:tc>
      </w:tr>
      <w:tr w14:paraId="522BB5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296000">
            <w:r>
              <w:t>构筑物遮阳覆盖率(%)</w:t>
            </w:r>
          </w:p>
        </w:tc>
        <w:tc>
          <w:tcPr>
            <w:vAlign w:val="center"/>
          </w:tcPr>
          <w:p w14:paraId="01C12FFC">
            <w:r>
              <w:t>0.00</w:t>
            </w:r>
          </w:p>
        </w:tc>
      </w:tr>
    </w:tbl>
    <w:p w14:paraId="38EE843A">
      <w:pPr>
        <w:pStyle w:val="3"/>
        <w:ind w:firstLine="420"/>
        <w:rPr>
          <w:lang w:val="en-US"/>
        </w:rPr>
      </w:pPr>
      <w:bookmarkStart w:id="35" w:name="住区指标概览"/>
      <w:bookmarkEnd w:id="35"/>
    </w:p>
    <w:p w14:paraId="31537C5D">
      <w:pPr>
        <w:pStyle w:val="2"/>
      </w:pPr>
      <w:bookmarkStart w:id="36" w:name="_Toc32717"/>
      <w:r>
        <w:rPr>
          <w:rFonts w:hint="eastAsia"/>
        </w:rPr>
        <w:t>强制性</w:t>
      </w:r>
      <w:r>
        <w:t>设计指标</w:t>
      </w:r>
      <w:bookmarkEnd w:id="36"/>
    </w:p>
    <w:p w14:paraId="6AD6C6B6">
      <w:pPr>
        <w:pStyle w:val="4"/>
      </w:pPr>
      <w:bookmarkStart w:id="37" w:name="_Toc24505"/>
      <w:r>
        <w:rPr>
          <w:rFonts w:hint="eastAsia"/>
        </w:rPr>
        <w:t>平均迎风面积比</w:t>
      </w:r>
      <w:bookmarkEnd w:id="37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1198C5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347DFB">
            <w:pPr>
              <w:jc w:val="center"/>
            </w:pPr>
            <w:r>
              <w:t>建筑名称</w:t>
            </w:r>
          </w:p>
        </w:tc>
        <w:tc>
          <w:tcPr>
            <w:shd w:val="clear" w:color="auto" w:fill="E6E6E6"/>
            <w:vAlign w:val="center"/>
          </w:tcPr>
          <w:p w14:paraId="0720DAD8">
            <w:pPr>
              <w:jc w:val="center"/>
            </w:pPr>
            <w:r>
              <w:t>迎风面积(㎡)</w:t>
            </w:r>
          </w:p>
        </w:tc>
        <w:tc>
          <w:tcPr>
            <w:shd w:val="clear" w:color="auto" w:fill="E6E6E6"/>
            <w:vAlign w:val="center"/>
          </w:tcPr>
          <w:p w14:paraId="71BCEB8C">
            <w:pPr>
              <w:jc w:val="center"/>
            </w:pPr>
            <w:r>
              <w:t>最大可能</w:t>
            </w:r>
            <w:r>
              <w:br w:type="textWrapping"/>
            </w:r>
            <w:r>
              <w:t>迎风面积(㎡)</w:t>
            </w:r>
          </w:p>
        </w:tc>
        <w:tc>
          <w:tcPr>
            <w:shd w:val="clear" w:color="auto" w:fill="E6E6E6"/>
            <w:vAlign w:val="center"/>
          </w:tcPr>
          <w:p w14:paraId="5F644D03">
            <w:pPr>
              <w:jc w:val="center"/>
            </w:pPr>
            <w:r>
              <w:t>最大可能</w:t>
            </w:r>
            <w:r>
              <w:br w:type="textWrapping"/>
            </w:r>
            <w:r>
              <w:t>迎风方向(°)</w:t>
            </w:r>
          </w:p>
        </w:tc>
        <w:tc>
          <w:tcPr>
            <w:shd w:val="clear" w:color="auto" w:fill="E6E6E6"/>
            <w:vAlign w:val="center"/>
          </w:tcPr>
          <w:p w14:paraId="08BD438A">
            <w:pPr>
              <w:jc w:val="center"/>
            </w:pPr>
            <w:r>
              <w:t>迎风面积比</w:t>
            </w:r>
          </w:p>
        </w:tc>
      </w:tr>
      <w:tr w14:paraId="499FD1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83B725">
            <w:r>
              <w:t>平均迎风面积比</w:t>
            </w:r>
          </w:p>
        </w:tc>
        <w:tc>
          <w:tcPr>
            <w:gridSpan w:val="4"/>
            <w:vAlign w:val="center"/>
          </w:tcPr>
          <w:p w14:paraId="24594DA1">
            <w:r>
              <w:rPr>
                <w:b/>
              </w:rPr>
              <w:t>0</w:t>
            </w:r>
          </w:p>
        </w:tc>
      </w:tr>
      <w:tr w14:paraId="1B1EC5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BF2185">
            <w:r>
              <w:t>依据</w:t>
            </w:r>
          </w:p>
        </w:tc>
        <w:tc>
          <w:tcPr>
            <w:gridSpan w:val="4"/>
            <w:vAlign w:val="center"/>
          </w:tcPr>
          <w:p w14:paraId="6487797E">
            <w:r>
              <w:rPr>
                <w:b/>
              </w:rPr>
              <w:t>《城市居住区热环境设计标准》4.1.1条</w:t>
            </w:r>
          </w:p>
        </w:tc>
      </w:tr>
      <w:tr w14:paraId="489295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B0F082">
            <w:r>
              <w:t>标准要求</w:t>
            </w:r>
          </w:p>
        </w:tc>
        <w:tc>
          <w:tcPr>
            <w:gridSpan w:val="4"/>
            <w:vAlign w:val="center"/>
          </w:tcPr>
          <w:p w14:paraId="3DEB12D6">
            <w:r>
              <w:rPr>
                <w:b/>
              </w:rPr>
              <w:t>平均迎风面积比≤0.85</w:t>
            </w:r>
          </w:p>
        </w:tc>
      </w:tr>
      <w:tr w14:paraId="7BFFBB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C8164D">
            <w:r>
              <w:t>结论</w:t>
            </w:r>
          </w:p>
        </w:tc>
        <w:tc>
          <w:tcPr>
            <w:gridSpan w:val="4"/>
            <w:vAlign w:val="center"/>
          </w:tcPr>
          <w:p w14:paraId="12F94F7D">
            <w:r>
              <w:rPr>
                <w:b/>
              </w:rPr>
              <w:t>满足</w:t>
            </w:r>
          </w:p>
        </w:tc>
      </w:tr>
    </w:tbl>
    <w:p w14:paraId="4C922688">
      <w:pPr>
        <w:pStyle w:val="3"/>
        <w:ind w:firstLine="420"/>
        <w:rPr>
          <w:lang w:val="en-US"/>
        </w:rPr>
      </w:pPr>
      <w:bookmarkStart w:id="38" w:name="平均迎风面积比"/>
      <w:bookmarkEnd w:id="38"/>
    </w:p>
    <w:p w14:paraId="1DDD1756">
      <w:pPr>
        <w:pStyle w:val="4"/>
      </w:pPr>
      <w:bookmarkStart w:id="39" w:name="_Toc15084"/>
      <w:r>
        <w:rPr>
          <w:rFonts w:hint="eastAsia"/>
        </w:rPr>
        <w:t>活动场地遮阳覆盖率</w:t>
      </w:r>
      <w:bookmarkEnd w:id="39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162184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8EC00B">
            <w:pPr>
              <w:jc w:val="center"/>
            </w:pPr>
            <w:r>
              <w:t>场地</w:t>
            </w:r>
          </w:p>
        </w:tc>
        <w:tc>
          <w:tcPr>
            <w:shd w:val="clear" w:color="auto" w:fill="E6E6E6"/>
            <w:vAlign w:val="center"/>
          </w:tcPr>
          <w:p w14:paraId="71BE5D3A">
            <w:pPr>
              <w:jc w:val="center"/>
            </w:pPr>
            <w:r>
              <w:t>遮阳面积(㎡)</w:t>
            </w:r>
          </w:p>
        </w:tc>
        <w:tc>
          <w:tcPr>
            <w:shd w:val="clear" w:color="auto" w:fill="E6E6E6"/>
            <w:vAlign w:val="center"/>
          </w:tcPr>
          <w:p w14:paraId="2D0CF99D">
            <w:pPr>
              <w:jc w:val="center"/>
            </w:pPr>
            <w:r>
              <w:t>场地面积(㎡)</w:t>
            </w:r>
          </w:p>
        </w:tc>
        <w:tc>
          <w:tcPr>
            <w:shd w:val="clear" w:color="auto" w:fill="E6E6E6"/>
            <w:vAlign w:val="center"/>
          </w:tcPr>
          <w:p w14:paraId="4A41866A">
            <w:pPr>
              <w:jc w:val="center"/>
            </w:pPr>
            <w:r>
              <w:t>遮阳覆盖率(%)</w:t>
            </w:r>
          </w:p>
        </w:tc>
        <w:tc>
          <w:tcPr>
            <w:shd w:val="clear" w:color="auto" w:fill="E6E6E6"/>
            <w:vAlign w:val="center"/>
          </w:tcPr>
          <w:p w14:paraId="14B4117F">
            <w:pPr>
              <w:jc w:val="center"/>
            </w:pPr>
            <w:r>
              <w:t>覆盖率限值(%)</w:t>
            </w:r>
          </w:p>
        </w:tc>
      </w:tr>
      <w:tr w14:paraId="0C8ABA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80F164">
            <w:r>
              <w:t>人行道</w:t>
            </w:r>
          </w:p>
        </w:tc>
        <w:tc>
          <w:tcPr>
            <w:vAlign w:val="center"/>
          </w:tcPr>
          <w:p w14:paraId="65C5638B">
            <w:r>
              <w:t>611.1</w:t>
            </w:r>
          </w:p>
        </w:tc>
        <w:tc>
          <w:tcPr>
            <w:vAlign w:val="center"/>
          </w:tcPr>
          <w:p w14:paraId="7948FD5C">
            <w:r>
              <w:t>2383.8</w:t>
            </w:r>
          </w:p>
        </w:tc>
        <w:tc>
          <w:tcPr>
            <w:vAlign w:val="center"/>
          </w:tcPr>
          <w:p w14:paraId="37C51F96">
            <w:r>
              <w:t>26</w:t>
            </w:r>
          </w:p>
        </w:tc>
        <w:tc>
          <w:tcPr>
            <w:vAlign w:val="center"/>
          </w:tcPr>
          <w:p w14:paraId="59F1A0EC">
            <w:r>
              <w:t>25</w:t>
            </w:r>
          </w:p>
        </w:tc>
      </w:tr>
      <w:tr w14:paraId="08B8A2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86B8D94">
            <w:r>
              <w:t>依据</w:t>
            </w:r>
          </w:p>
        </w:tc>
        <w:tc>
          <w:tcPr>
            <w:gridSpan w:val="4"/>
            <w:vAlign w:val="center"/>
          </w:tcPr>
          <w:p w14:paraId="2B05A876">
            <w:r>
              <w:rPr>
                <w:b/>
              </w:rPr>
              <w:t>《城市居住区热环境设计标准》4.2.1条</w:t>
            </w:r>
          </w:p>
        </w:tc>
      </w:tr>
      <w:tr w14:paraId="4BF61A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1DCD51D">
            <w:r>
              <w:t>标准要求</w:t>
            </w:r>
          </w:p>
        </w:tc>
        <w:tc>
          <w:tcPr>
            <w:gridSpan w:val="4"/>
            <w:vAlign w:val="center"/>
          </w:tcPr>
          <w:p w14:paraId="0210C409">
            <w:r>
              <w:rPr>
                <w:b/>
              </w:rPr>
              <w:t>各类活动场地遮阳覆盖率不得低于标准要求限值</w:t>
            </w:r>
          </w:p>
        </w:tc>
      </w:tr>
      <w:tr w14:paraId="6C2DDA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6F3F92">
            <w:r>
              <w:t>结论</w:t>
            </w:r>
          </w:p>
        </w:tc>
        <w:tc>
          <w:tcPr>
            <w:gridSpan w:val="4"/>
            <w:vAlign w:val="center"/>
          </w:tcPr>
          <w:p w14:paraId="600F9742">
            <w:r>
              <w:rPr>
                <w:b/>
              </w:rPr>
              <w:t>满足</w:t>
            </w:r>
          </w:p>
        </w:tc>
      </w:tr>
    </w:tbl>
    <w:p w14:paraId="45D4EF3F">
      <w:pPr>
        <w:pStyle w:val="3"/>
        <w:ind w:firstLine="420"/>
        <w:rPr>
          <w:lang w:val="en-US"/>
        </w:rPr>
      </w:pPr>
      <w:bookmarkStart w:id="40" w:name="活动场地遮阳覆盖率"/>
      <w:bookmarkEnd w:id="40"/>
    </w:p>
    <w:p w14:paraId="14EB15C9">
      <w:pPr>
        <w:pStyle w:val="2"/>
      </w:pPr>
      <w:bookmarkStart w:id="41" w:name="_Toc222"/>
      <w:r>
        <w:rPr>
          <w:rFonts w:hint="eastAsia"/>
        </w:rPr>
        <w:t>规定性设计指标</w:t>
      </w:r>
      <w:bookmarkEnd w:id="41"/>
    </w:p>
    <w:p w14:paraId="19AF87F4">
      <w:pPr>
        <w:pStyle w:val="4"/>
      </w:pPr>
      <w:bookmarkStart w:id="42" w:name="_Toc3866"/>
      <w:r>
        <w:rPr>
          <w:rFonts w:hint="eastAsia"/>
        </w:rPr>
        <w:t>底层通风架空率</w:t>
      </w:r>
      <w:bookmarkEnd w:id="42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34FB8A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99933F">
            <w:pPr>
              <w:jc w:val="center"/>
            </w:pPr>
            <w:r>
              <w:t>建筑名称</w:t>
            </w:r>
          </w:p>
        </w:tc>
        <w:tc>
          <w:tcPr>
            <w:shd w:val="clear" w:color="auto" w:fill="E6E6E6"/>
            <w:vAlign w:val="center"/>
          </w:tcPr>
          <w:p w14:paraId="178673EA">
            <w:pPr>
              <w:jc w:val="center"/>
            </w:pPr>
            <w:r>
              <w:t>底层架空面积(㎡)</w:t>
            </w:r>
          </w:p>
        </w:tc>
        <w:tc>
          <w:tcPr>
            <w:shd w:val="clear" w:color="auto" w:fill="E6E6E6"/>
            <w:vAlign w:val="center"/>
          </w:tcPr>
          <w:p w14:paraId="1710A8F4">
            <w:pPr>
              <w:jc w:val="center"/>
            </w:pPr>
            <w:r>
              <w:t>基底面积(㎡)</w:t>
            </w:r>
          </w:p>
        </w:tc>
        <w:tc>
          <w:tcPr>
            <w:shd w:val="clear" w:color="auto" w:fill="E6E6E6"/>
            <w:vAlign w:val="center"/>
          </w:tcPr>
          <w:p w14:paraId="731630F8">
            <w:pPr>
              <w:jc w:val="center"/>
            </w:pPr>
            <w:r>
              <w:t>迎风面宽度(m)</w:t>
            </w:r>
          </w:p>
        </w:tc>
        <w:tc>
          <w:tcPr>
            <w:shd w:val="clear" w:color="auto" w:fill="E6E6E6"/>
            <w:vAlign w:val="center"/>
          </w:tcPr>
          <w:p w14:paraId="50C15CD6">
            <w:pPr>
              <w:jc w:val="center"/>
            </w:pPr>
            <w:r>
              <w:t>底层通风架空率(%)</w:t>
            </w:r>
          </w:p>
        </w:tc>
      </w:tr>
      <w:tr w14:paraId="70D66C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7C7CD3"/>
        </w:tc>
        <w:tc>
          <w:tcPr>
            <w:vAlign w:val="center"/>
          </w:tcPr>
          <w:p w14:paraId="73C6EC57">
            <w:r>
              <w:t>0.0</w:t>
            </w:r>
          </w:p>
        </w:tc>
        <w:tc>
          <w:tcPr>
            <w:vAlign w:val="center"/>
          </w:tcPr>
          <w:p w14:paraId="1A14C292">
            <w:r>
              <w:t>8734.5</w:t>
            </w:r>
          </w:p>
        </w:tc>
        <w:tc>
          <w:tcPr>
            <w:vAlign w:val="center"/>
          </w:tcPr>
          <w:p w14:paraId="1D4CF061">
            <w:r>
              <w:t>0.0</w:t>
            </w:r>
          </w:p>
        </w:tc>
        <w:tc>
          <w:tcPr>
            <w:vAlign w:val="center"/>
          </w:tcPr>
          <w:p w14:paraId="5A14F181">
            <w:r>
              <w:t>0</w:t>
            </w:r>
          </w:p>
        </w:tc>
      </w:tr>
      <w:tr w14:paraId="09A38C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71D241">
            <w:r>
              <w:t>依据</w:t>
            </w:r>
          </w:p>
        </w:tc>
        <w:tc>
          <w:tcPr>
            <w:gridSpan w:val="4"/>
            <w:vAlign w:val="center"/>
          </w:tcPr>
          <w:p w14:paraId="1E4B83CE">
            <w:r>
              <w:t>《城市居住区热环境设计标准》4.1.4条</w:t>
            </w:r>
          </w:p>
        </w:tc>
      </w:tr>
      <w:tr w14:paraId="2174AE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7A535F">
            <w:r>
              <w:t>标准要求</w:t>
            </w:r>
          </w:p>
        </w:tc>
        <w:tc>
          <w:tcPr>
            <w:gridSpan w:val="4"/>
            <w:vAlign w:val="center"/>
          </w:tcPr>
          <w:p w14:paraId="5C1A5B73">
            <w:r>
              <w:t>III、IV、V气候区，夏季主导风向迎风面积宽度超过80m时，底层通风架空率不应小于10%</w:t>
            </w:r>
          </w:p>
        </w:tc>
      </w:tr>
      <w:tr w14:paraId="746E0A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BFCD6A6">
            <w:r>
              <w:t>结论</w:t>
            </w:r>
          </w:p>
        </w:tc>
        <w:tc>
          <w:tcPr>
            <w:gridSpan w:val="4"/>
            <w:vAlign w:val="center"/>
          </w:tcPr>
          <w:p w14:paraId="4F5ED852">
            <w:r>
              <w:t>满足</w:t>
            </w:r>
          </w:p>
        </w:tc>
      </w:tr>
    </w:tbl>
    <w:p w14:paraId="7DFF5D80">
      <w:pPr>
        <w:pStyle w:val="3"/>
        <w:ind w:firstLine="420"/>
        <w:rPr>
          <w:lang w:val="en-US"/>
        </w:rPr>
      </w:pPr>
      <w:bookmarkStart w:id="43" w:name="底层通风架空率"/>
      <w:bookmarkEnd w:id="43"/>
    </w:p>
    <w:p w14:paraId="48B2EABD">
      <w:pPr>
        <w:pStyle w:val="4"/>
      </w:pPr>
      <w:bookmarkStart w:id="44" w:name="_Toc20511"/>
      <w:r>
        <w:rPr>
          <w:rFonts w:hint="eastAsia"/>
        </w:rPr>
        <w:t>绿化遮阳体叶面积指数</w:t>
      </w:r>
      <w:bookmarkEnd w:id="44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0"/>
        <w:gridCol w:w="3110"/>
      </w:tblGrid>
      <w:tr w14:paraId="0E362A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437109">
            <w:pPr>
              <w:jc w:val="center"/>
            </w:pPr>
            <w:r>
              <w:t>遮阳体类型</w:t>
            </w:r>
          </w:p>
        </w:tc>
        <w:tc>
          <w:tcPr>
            <w:shd w:val="clear" w:color="auto" w:fill="E6E6E6"/>
            <w:vAlign w:val="center"/>
          </w:tcPr>
          <w:p w14:paraId="3F2364FD">
            <w:pPr>
              <w:jc w:val="center"/>
            </w:pPr>
            <w:r>
              <w:t>叶面积指数</w:t>
            </w:r>
          </w:p>
        </w:tc>
        <w:tc>
          <w:tcPr>
            <w:shd w:val="clear" w:color="auto" w:fill="E6E6E6"/>
            <w:vAlign w:val="center"/>
          </w:tcPr>
          <w:p w14:paraId="44578642">
            <w:pPr>
              <w:jc w:val="center"/>
            </w:pPr>
            <w:r>
              <w:t>面积(㎡)</w:t>
            </w:r>
          </w:p>
        </w:tc>
      </w:tr>
      <w:tr w14:paraId="11B220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0A06588">
            <w:r>
              <w:t>乔木</w:t>
            </w:r>
          </w:p>
        </w:tc>
        <w:tc>
          <w:tcPr>
            <w:vAlign w:val="center"/>
          </w:tcPr>
          <w:p w14:paraId="46110D8D">
            <w:r>
              <w:t>LAI &gt;= 3</w:t>
            </w:r>
          </w:p>
        </w:tc>
        <w:tc>
          <w:tcPr>
            <w:vAlign w:val="center"/>
          </w:tcPr>
          <w:p w14:paraId="423F8480">
            <w:r>
              <w:t>0</w:t>
            </w:r>
          </w:p>
        </w:tc>
      </w:tr>
      <w:tr w14:paraId="3F55AB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EFC96DB"/>
        </w:tc>
        <w:tc>
          <w:tcPr>
            <w:vAlign w:val="center"/>
          </w:tcPr>
          <w:p w14:paraId="1844E7A3">
            <w:r>
              <w:t>LAI &lt; 3</w:t>
            </w:r>
          </w:p>
        </w:tc>
        <w:tc>
          <w:tcPr>
            <w:vAlign w:val="center"/>
          </w:tcPr>
          <w:p w14:paraId="3695536B">
            <w:r>
              <w:t>0</w:t>
            </w:r>
          </w:p>
        </w:tc>
      </w:tr>
      <w:tr w14:paraId="2C0015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C677310">
            <w:r>
              <w:t>爬藤棚架</w:t>
            </w:r>
          </w:p>
        </w:tc>
        <w:tc>
          <w:tcPr>
            <w:vAlign w:val="center"/>
          </w:tcPr>
          <w:p w14:paraId="2FAAECA3">
            <w:r>
              <w:t>LAI &gt;= 3</w:t>
            </w:r>
          </w:p>
        </w:tc>
        <w:tc>
          <w:tcPr>
            <w:vAlign w:val="center"/>
          </w:tcPr>
          <w:p w14:paraId="4D8D839A">
            <w:r>
              <w:t>4767</w:t>
            </w:r>
          </w:p>
        </w:tc>
      </w:tr>
      <w:tr w14:paraId="4A3C45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3B23A35"/>
        </w:tc>
        <w:tc>
          <w:tcPr>
            <w:vAlign w:val="center"/>
          </w:tcPr>
          <w:p w14:paraId="562B5A72">
            <w:r>
              <w:t>LAI &lt; 3</w:t>
            </w:r>
          </w:p>
        </w:tc>
        <w:tc>
          <w:tcPr>
            <w:vAlign w:val="center"/>
          </w:tcPr>
          <w:p w14:paraId="25F819F7">
            <w:r>
              <w:t>0</w:t>
            </w:r>
          </w:p>
        </w:tc>
      </w:tr>
      <w:tr w14:paraId="035C41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8A54B35">
            <w:r>
              <w:t>依据</w:t>
            </w:r>
          </w:p>
        </w:tc>
        <w:tc>
          <w:tcPr>
            <w:gridSpan w:val="2"/>
            <w:vAlign w:val="center"/>
          </w:tcPr>
          <w:p w14:paraId="21A31415">
            <w:r>
              <w:t>《城市居住区热环境设计标准》4.2.3条</w:t>
            </w:r>
          </w:p>
        </w:tc>
      </w:tr>
      <w:tr w14:paraId="54A2D7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59DBF5">
            <w:r>
              <w:t>标准要求</w:t>
            </w:r>
          </w:p>
        </w:tc>
        <w:tc>
          <w:tcPr>
            <w:gridSpan w:val="2"/>
            <w:vAlign w:val="center"/>
          </w:tcPr>
          <w:p w14:paraId="62B928E2">
            <w:r>
              <w:t>绿化遮阳体叶面积指数不应小于3.0</w:t>
            </w:r>
          </w:p>
        </w:tc>
      </w:tr>
      <w:tr w14:paraId="2A2A70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B58F4D">
            <w:r>
              <w:t>结论</w:t>
            </w:r>
          </w:p>
        </w:tc>
        <w:tc>
          <w:tcPr>
            <w:gridSpan w:val="2"/>
            <w:vAlign w:val="center"/>
          </w:tcPr>
          <w:p w14:paraId="1DFF2AD4">
            <w:r>
              <w:t>满足</w:t>
            </w:r>
          </w:p>
        </w:tc>
      </w:tr>
    </w:tbl>
    <w:p w14:paraId="12E43C97">
      <w:pPr>
        <w:pStyle w:val="3"/>
        <w:ind w:firstLine="420"/>
        <w:rPr>
          <w:lang w:val="en-US"/>
        </w:rPr>
      </w:pPr>
      <w:bookmarkStart w:id="45" w:name="绿化遮阳体叶面积指数"/>
      <w:bookmarkEnd w:id="45"/>
    </w:p>
    <w:p w14:paraId="58F51DDB">
      <w:pPr>
        <w:pStyle w:val="4"/>
      </w:pPr>
      <w:bookmarkStart w:id="46" w:name="_Toc26132"/>
      <w:r>
        <w:rPr>
          <w:rFonts w:hint="eastAsia"/>
        </w:rPr>
        <w:t>渗透蒸发指标</w:t>
      </w:r>
      <w:bookmarkEnd w:id="46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081092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F9F2EA">
            <w:pPr>
              <w:jc w:val="center"/>
            </w:pPr>
            <w:r>
              <w:t>地面</w:t>
            </w:r>
          </w:p>
        </w:tc>
        <w:tc>
          <w:tcPr>
            <w:shd w:val="clear" w:color="auto" w:fill="E6E6E6"/>
            <w:vAlign w:val="center"/>
          </w:tcPr>
          <w:p w14:paraId="154F9F47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361617B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0BAA1EA3">
            <w:pPr>
              <w:jc w:val="center"/>
            </w:pPr>
            <w:r>
              <w:t>地面透水系数k(mm/s)</w:t>
            </w:r>
          </w:p>
        </w:tc>
        <w:tc>
          <w:tcPr>
            <w:shd w:val="clear" w:color="auto" w:fill="E6E6E6"/>
            <w:vAlign w:val="center"/>
          </w:tcPr>
          <w:p w14:paraId="62C682FE">
            <w:pPr>
              <w:jc w:val="center"/>
            </w:pPr>
            <w:r>
              <w:t>蒸发量m</w:t>
            </w:r>
            <w:r>
              <w:br w:type="textWrapping"/>
            </w:r>
            <w:r>
              <w:t>(kg/(㎡·d))</w:t>
            </w:r>
          </w:p>
        </w:tc>
      </w:tr>
      <w:tr w14:paraId="50F7C4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4BCE2C">
            <w:r>
              <w:t>人行道</w:t>
            </w:r>
          </w:p>
        </w:tc>
        <w:tc>
          <w:tcPr>
            <w:vAlign w:val="center"/>
          </w:tcPr>
          <w:p w14:paraId="566C7A13">
            <w:r>
              <w:t>2384</w:t>
            </w:r>
          </w:p>
        </w:tc>
        <w:tc>
          <w:tcPr>
            <w:vAlign w:val="center"/>
          </w:tcPr>
          <w:p w14:paraId="11F5E465">
            <w:r>
              <w:t>1.000</w:t>
            </w:r>
          </w:p>
        </w:tc>
        <w:tc>
          <w:tcPr>
            <w:vAlign w:val="center"/>
          </w:tcPr>
          <w:p w14:paraId="04796968">
            <w:r>
              <w:t>6.00</w:t>
            </w:r>
          </w:p>
        </w:tc>
        <w:tc>
          <w:tcPr>
            <w:vAlign w:val="center"/>
          </w:tcPr>
          <w:p w14:paraId="5EDFB72A">
            <w:r>
              <w:t>1.69</w:t>
            </w:r>
          </w:p>
        </w:tc>
      </w:tr>
      <w:tr w14:paraId="449B80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FA2030">
            <w:r>
              <w:t>合计</w:t>
            </w:r>
          </w:p>
        </w:tc>
        <w:tc>
          <w:tcPr>
            <w:vAlign w:val="center"/>
          </w:tcPr>
          <w:p w14:paraId="7A1FAFAE">
            <w:r>
              <w:t>2384</w:t>
            </w:r>
          </w:p>
        </w:tc>
        <w:tc>
          <w:tcPr>
            <w:vAlign w:val="center"/>
          </w:tcPr>
          <w:p w14:paraId="4DECBE64">
            <w:r>
              <w:t>1.0</w:t>
            </w:r>
          </w:p>
        </w:tc>
        <w:tc>
          <w:tcPr>
            <w:vAlign w:val="center"/>
          </w:tcPr>
          <w:p w14:paraId="53479DB3">
            <w:r>
              <w:t>6.00</w:t>
            </w:r>
          </w:p>
        </w:tc>
        <w:tc>
          <w:tcPr>
            <w:vAlign w:val="center"/>
          </w:tcPr>
          <w:p w14:paraId="6BF952AD">
            <w:r>
              <w:t>1.69</w:t>
            </w:r>
          </w:p>
        </w:tc>
      </w:tr>
    </w:tbl>
    <w:p w14:paraId="4E8752D1">
      <w:pPr>
        <w:pStyle w:val="3"/>
        <w:ind w:firstLine="420"/>
        <w:rPr>
          <w:lang w:val="en-US"/>
        </w:rPr>
      </w:pPr>
      <w:bookmarkStart w:id="47" w:name="渗透蒸发指标"/>
      <w:bookmarkEnd w:id="47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0"/>
        <w:gridCol w:w="3110"/>
        <w:gridCol w:w="1"/>
      </w:tblGrid>
      <w:tr w14:paraId="035C38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48A2CCD7">
            <w:pPr>
              <w:jc w:val="center"/>
            </w:pPr>
            <w:r>
              <w:t>地面</w:t>
            </w:r>
          </w:p>
        </w:tc>
        <w:tc>
          <w:tcPr>
            <w:shd w:val="clear" w:color="auto" w:fill="E6E6E6"/>
            <w:vAlign w:val="center"/>
          </w:tcPr>
          <w:p w14:paraId="08AD32A8">
            <w:pPr>
              <w:jc w:val="center"/>
            </w:pPr>
            <w:r>
              <w:t>渗透面积比率(%)</w:t>
            </w:r>
          </w:p>
        </w:tc>
        <w:tc>
          <w:tcPr>
            <w:shd w:val="clear" w:color="auto" w:fill="E6E6E6"/>
            <w:vAlign w:val="center"/>
          </w:tcPr>
          <w:p w14:paraId="745E3A3D">
            <w:pPr>
              <w:jc w:val="center"/>
            </w:pPr>
            <w:r>
              <w:t>限值(%)</w:t>
            </w:r>
          </w:p>
        </w:tc>
      </w:tr>
      <w:tr w14:paraId="7D9AF8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49F46708">
            <w:r>
              <w:t>人行道</w:t>
            </w:r>
          </w:p>
        </w:tc>
        <w:tc>
          <w:tcPr>
            <w:vAlign w:val="center"/>
          </w:tcPr>
          <w:p w14:paraId="2EAF7C27">
            <w:r>
              <w:t>100</w:t>
            </w:r>
          </w:p>
        </w:tc>
        <w:tc>
          <w:tcPr>
            <w:vAlign w:val="center"/>
          </w:tcPr>
          <w:p w14:paraId="4B181F6E">
            <w:r>
              <w:t>50</w:t>
            </w:r>
          </w:p>
        </w:tc>
      </w:tr>
      <w:tr w14:paraId="683B19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shd w:val="clear" w:color="auto" w:fill="E6E6E6"/>
            <w:vAlign w:val="center"/>
          </w:tcPr>
          <w:p w14:paraId="3EDD990E">
            <w:pPr>
              <w:jc w:val="center"/>
            </w:pPr>
            <w:r>
              <w:t>渗透与蒸发指标</w:t>
            </w:r>
          </w:p>
        </w:tc>
      </w:tr>
      <w:tr w14:paraId="15CD8B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2FE6781E">
            <w:pPr>
              <w:jc w:val="center"/>
            </w:pPr>
            <w:r>
              <w:t>指标</w:t>
            </w:r>
          </w:p>
        </w:tc>
        <w:tc>
          <w:tcPr>
            <w:shd w:val="clear" w:color="auto" w:fill="E6E6E6"/>
            <w:vAlign w:val="center"/>
          </w:tcPr>
          <w:p w14:paraId="27748FD0">
            <w:pPr>
              <w:jc w:val="center"/>
            </w:pPr>
            <w:r>
              <w:t>值</w:t>
            </w:r>
          </w:p>
        </w:tc>
        <w:tc>
          <w:tcPr>
            <w:shd w:val="clear" w:color="auto" w:fill="E6E6E6"/>
            <w:vAlign w:val="center"/>
          </w:tcPr>
          <w:p w14:paraId="2F877298">
            <w:pPr>
              <w:jc w:val="center"/>
            </w:pPr>
            <w:r>
              <w:t>限值</w:t>
            </w:r>
          </w:p>
        </w:tc>
      </w:tr>
      <w:tr w14:paraId="5DBD28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781A6057">
            <w:r>
              <w:t>地面透水系数k(mm/s)</w:t>
            </w:r>
          </w:p>
        </w:tc>
        <w:tc>
          <w:tcPr>
            <w:vAlign w:val="center"/>
          </w:tcPr>
          <w:p w14:paraId="432201B4">
            <w:r>
              <w:t>6.00</w:t>
            </w:r>
          </w:p>
        </w:tc>
        <w:tc>
          <w:tcPr>
            <w:vAlign w:val="center"/>
          </w:tcPr>
          <w:p w14:paraId="3C1E8C28">
            <w:r>
              <w:t>3</w:t>
            </w:r>
          </w:p>
        </w:tc>
      </w:tr>
      <w:tr w14:paraId="6E5F2A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74B114C4">
            <w:r>
              <w:t>蒸发量m(kg/(㎡·d))</w:t>
            </w:r>
          </w:p>
        </w:tc>
        <w:tc>
          <w:tcPr>
            <w:vAlign w:val="center"/>
          </w:tcPr>
          <w:p w14:paraId="7E84BC9B">
            <w:r>
              <w:t>1.69</w:t>
            </w:r>
          </w:p>
        </w:tc>
        <w:tc>
          <w:tcPr>
            <w:vAlign w:val="center"/>
          </w:tcPr>
          <w:p w14:paraId="01F969B6">
            <w:r>
              <w:t>1.6</w:t>
            </w:r>
          </w:p>
        </w:tc>
      </w:tr>
      <w:tr w14:paraId="2BFC1A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16894A86">
            <w:r>
              <w:t>依据</w:t>
            </w:r>
          </w:p>
        </w:tc>
        <w:tc>
          <w:tcPr>
            <w:gridSpan w:val="2"/>
            <w:vAlign w:val="center"/>
          </w:tcPr>
          <w:p w14:paraId="11ACFC08">
            <w:r>
              <w:t>《城市居住区热环境设计标准》4.3.1条</w:t>
            </w:r>
          </w:p>
        </w:tc>
      </w:tr>
      <w:tr w14:paraId="603957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530AEDEA">
            <w:r>
              <w:t>标准要求</w:t>
            </w:r>
          </w:p>
        </w:tc>
        <w:tc>
          <w:tcPr>
            <w:gridSpan w:val="2"/>
            <w:vAlign w:val="center"/>
          </w:tcPr>
          <w:p w14:paraId="6F16E942">
            <w:r>
              <w:t>渗透面积比率、透水系数及蒸发量不应低于标准规定限值</w:t>
            </w:r>
          </w:p>
        </w:tc>
      </w:tr>
      <w:tr w14:paraId="68CC4F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30E58942">
            <w:r>
              <w:t>结论</w:t>
            </w:r>
          </w:p>
        </w:tc>
        <w:tc>
          <w:tcPr>
            <w:gridSpan w:val="2"/>
            <w:vAlign w:val="center"/>
          </w:tcPr>
          <w:p w14:paraId="4FDC9C62">
            <w:r>
              <w:t>满足</w:t>
            </w:r>
          </w:p>
        </w:tc>
      </w:tr>
    </w:tbl>
    <w:p w14:paraId="38810A39">
      <w:pPr>
        <w:pStyle w:val="3"/>
        <w:ind w:firstLine="420"/>
        <w:rPr>
          <w:lang w:val="en-US"/>
        </w:rPr>
      </w:pPr>
    </w:p>
    <w:p w14:paraId="4971EE92">
      <w:pPr>
        <w:pStyle w:val="4"/>
      </w:pPr>
      <w:bookmarkStart w:id="48" w:name="_Toc1175"/>
      <w:r>
        <w:rPr>
          <w:rFonts w:hint="eastAsia"/>
        </w:rPr>
        <w:t>屋面绿化率</w:t>
      </w:r>
      <w:bookmarkEnd w:id="48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1E921A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9BF6D8">
            <w:pPr>
              <w:jc w:val="center"/>
            </w:pPr>
            <w:r>
              <w:t>建筑名称</w:t>
            </w:r>
          </w:p>
        </w:tc>
        <w:tc>
          <w:tcPr>
            <w:shd w:val="clear" w:color="auto" w:fill="E6E6E6"/>
            <w:vAlign w:val="center"/>
          </w:tcPr>
          <w:p w14:paraId="790BB5ED">
            <w:pPr>
              <w:jc w:val="center"/>
            </w:pPr>
            <w:r>
              <w:t>屋面轮廓面积(㎡)</w:t>
            </w:r>
          </w:p>
        </w:tc>
        <w:tc>
          <w:tcPr>
            <w:shd w:val="clear" w:color="auto" w:fill="E6E6E6"/>
            <w:vAlign w:val="center"/>
          </w:tcPr>
          <w:p w14:paraId="2477C35A">
            <w:pPr>
              <w:jc w:val="center"/>
            </w:pPr>
            <w:r>
              <w:t>屋顶绿化面积(㎡)</w:t>
            </w:r>
          </w:p>
        </w:tc>
        <w:tc>
          <w:tcPr>
            <w:shd w:val="clear" w:color="auto" w:fill="E6E6E6"/>
            <w:vAlign w:val="center"/>
          </w:tcPr>
          <w:p w14:paraId="58040C17">
            <w:pPr>
              <w:jc w:val="center"/>
            </w:pPr>
            <w:r>
              <w:t>可绿化屋面</w:t>
            </w:r>
            <w:r>
              <w:br w:type="textWrapping"/>
            </w: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9BBABBA">
            <w:pPr>
              <w:jc w:val="center"/>
            </w:pPr>
            <w:r>
              <w:t>屋面绿化率(%)</w:t>
            </w:r>
          </w:p>
        </w:tc>
      </w:tr>
      <w:tr w14:paraId="36F86B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5C6098"/>
        </w:tc>
        <w:tc>
          <w:tcPr>
            <w:vAlign w:val="center"/>
          </w:tcPr>
          <w:p w14:paraId="36D365D4">
            <w:r>
              <w:t>8734.5</w:t>
            </w:r>
          </w:p>
        </w:tc>
        <w:tc>
          <w:tcPr>
            <w:vAlign w:val="center"/>
          </w:tcPr>
          <w:p w14:paraId="595B5B74">
            <w:r>
              <w:t>4522.8</w:t>
            </w:r>
          </w:p>
        </w:tc>
        <w:tc>
          <w:tcPr>
            <w:vAlign w:val="center"/>
          </w:tcPr>
          <w:p w14:paraId="0702D7E6">
            <w:r>
              <w:t>8734.5</w:t>
            </w:r>
          </w:p>
        </w:tc>
        <w:tc>
          <w:tcPr>
            <w:vAlign w:val="center"/>
          </w:tcPr>
          <w:p w14:paraId="045B63B7">
            <w:r>
              <w:t>52</w:t>
            </w:r>
          </w:p>
        </w:tc>
      </w:tr>
      <w:tr w14:paraId="046887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0BF563">
            <w:r>
              <w:t>合计</w:t>
            </w:r>
          </w:p>
        </w:tc>
        <w:tc>
          <w:tcPr>
            <w:vAlign w:val="center"/>
          </w:tcPr>
          <w:p w14:paraId="7BD41228">
            <w:r>
              <w:t>8734.5</w:t>
            </w:r>
          </w:p>
        </w:tc>
        <w:tc>
          <w:tcPr>
            <w:vAlign w:val="center"/>
          </w:tcPr>
          <w:p w14:paraId="5F01DC36">
            <w:r>
              <w:t>4522.8</w:t>
            </w:r>
          </w:p>
        </w:tc>
        <w:tc>
          <w:tcPr>
            <w:vAlign w:val="center"/>
          </w:tcPr>
          <w:p w14:paraId="78E9B773">
            <w:r>
              <w:t>8734.5</w:t>
            </w:r>
          </w:p>
        </w:tc>
        <w:tc>
          <w:tcPr>
            <w:vAlign w:val="center"/>
          </w:tcPr>
          <w:p w14:paraId="56AAC080">
            <w:r>
              <w:t>52</w:t>
            </w:r>
          </w:p>
        </w:tc>
      </w:tr>
      <w:tr w14:paraId="3681F8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FA9DAA">
            <w:r>
              <w:t>依据</w:t>
            </w:r>
          </w:p>
        </w:tc>
        <w:tc>
          <w:tcPr>
            <w:gridSpan w:val="4"/>
            <w:vAlign w:val="center"/>
          </w:tcPr>
          <w:p w14:paraId="3FFCDF8A">
            <w:r>
              <w:t>《城市居住区热环境设计标准》4.4.2条</w:t>
            </w:r>
          </w:p>
        </w:tc>
      </w:tr>
      <w:tr w14:paraId="48E70F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619AF2">
            <w:r>
              <w:t>标准要求</w:t>
            </w:r>
          </w:p>
        </w:tc>
        <w:tc>
          <w:tcPr>
            <w:gridSpan w:val="4"/>
            <w:vAlign w:val="center"/>
          </w:tcPr>
          <w:p w14:paraId="3801E989">
            <w:r>
              <w:t>建筑屋面的绿化面积不应低于可绿化屋面面积的50%</w:t>
            </w:r>
          </w:p>
        </w:tc>
      </w:tr>
      <w:tr w14:paraId="7FFD21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D6F328">
            <w:r>
              <w:t>结论</w:t>
            </w:r>
          </w:p>
        </w:tc>
        <w:tc>
          <w:tcPr>
            <w:gridSpan w:val="4"/>
            <w:vAlign w:val="center"/>
          </w:tcPr>
          <w:p w14:paraId="67277BE6">
            <w:r>
              <w:t>满足</w:t>
            </w:r>
          </w:p>
        </w:tc>
      </w:tr>
    </w:tbl>
    <w:p w14:paraId="32DA23EB">
      <w:pPr>
        <w:pStyle w:val="3"/>
        <w:ind w:firstLine="420"/>
        <w:rPr>
          <w:lang w:val="en-US"/>
        </w:rPr>
      </w:pPr>
      <w:bookmarkStart w:id="49" w:name="屋面绿化率"/>
      <w:bookmarkEnd w:id="49"/>
    </w:p>
    <w:p w14:paraId="75A0AFC8">
      <w:pPr>
        <w:pStyle w:val="2"/>
      </w:pPr>
      <w:bookmarkStart w:id="50" w:name="_Toc1427"/>
      <w:r>
        <w:rPr>
          <w:rFonts w:hint="eastAsia"/>
        </w:rPr>
        <w:t>结论</w:t>
      </w:r>
      <w:bookmarkEnd w:id="50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7"/>
        <w:gridCol w:w="2800"/>
        <w:gridCol w:w="1866"/>
        <w:gridCol w:w="2800"/>
      </w:tblGrid>
      <w:tr w14:paraId="6EB7C3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shd w:val="clear" w:color="auto" w:fill="E6E6E6"/>
            <w:vAlign w:val="center"/>
          </w:tcPr>
          <w:p w14:paraId="30847B73">
            <w:pPr>
              <w:jc w:val="center"/>
            </w:pPr>
            <w:bookmarkStart w:id="51" w:name="结论"/>
            <w:bookmarkEnd w:id="51"/>
            <w:r>
              <w:t>类别</w:t>
            </w:r>
          </w:p>
        </w:tc>
        <w:tc>
          <w:tcPr>
            <w:tcW w:w="2800" w:type="dxa"/>
            <w:shd w:val="clear" w:color="auto" w:fill="E6E6E6"/>
            <w:vAlign w:val="center"/>
          </w:tcPr>
          <w:p w14:paraId="6580C4EA">
            <w:pPr>
              <w:jc w:val="center"/>
            </w:pPr>
            <w:r>
              <w:t>检查项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180F328E">
            <w:pPr>
              <w:jc w:val="center"/>
            </w:pPr>
            <w:r>
              <w:t>结论</w:t>
            </w:r>
          </w:p>
        </w:tc>
        <w:tc>
          <w:tcPr>
            <w:tcW w:w="2800" w:type="dxa"/>
            <w:shd w:val="clear" w:color="auto" w:fill="E6E6E6"/>
            <w:vAlign w:val="center"/>
          </w:tcPr>
          <w:p w14:paraId="1A133A7E">
            <w:pPr>
              <w:jc w:val="center"/>
            </w:pPr>
            <w:r>
              <w:t>备注</w:t>
            </w:r>
          </w:p>
        </w:tc>
      </w:tr>
      <w:tr w14:paraId="4B99A3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restart"/>
            <w:shd w:val="clear" w:color="auto" w:fill="E6E6E6"/>
            <w:vAlign w:val="center"/>
          </w:tcPr>
          <w:p w14:paraId="1AD3C32B">
            <w:r>
              <w:rPr>
                <w:rFonts w:hint="eastAsia"/>
                <w:b/>
              </w:rPr>
              <w:t>强制</w:t>
            </w:r>
            <w:r>
              <w:rPr>
                <w:b/>
              </w:rPr>
              <w:t>性条</w:t>
            </w:r>
            <w:r>
              <w:rPr>
                <w:rFonts w:hint="eastAsia"/>
                <w:b/>
              </w:rPr>
              <w:t>文</w:t>
            </w:r>
          </w:p>
        </w:tc>
        <w:tc>
          <w:tcPr>
            <w:tcW w:w="2800" w:type="dxa"/>
            <w:vAlign w:val="center"/>
          </w:tcPr>
          <w:p w14:paraId="48F30EFB">
            <w:r>
              <w:rPr>
                <w:b/>
              </w:rPr>
              <w:t>平均迎风面积比</w:t>
            </w:r>
          </w:p>
        </w:tc>
        <w:tc>
          <w:tcPr>
            <w:tcW w:w="1866" w:type="dxa"/>
            <w:vAlign w:val="center"/>
          </w:tcPr>
          <w:p w14:paraId="2F927C2A">
            <w:pPr>
              <w:rPr>
                <w:b/>
              </w:rPr>
            </w:pPr>
            <w:bookmarkStart w:id="52" w:name="平均迎风面积比结论"/>
            <w:r>
              <w:rPr>
                <w:rFonts w:hint="eastAsia"/>
                <w:b/>
              </w:rPr>
              <w:t>满足</w:t>
            </w:r>
            <w:bookmarkEnd w:id="52"/>
          </w:p>
        </w:tc>
        <w:tc>
          <w:tcPr>
            <w:tcW w:w="2800" w:type="dxa"/>
            <w:vMerge w:val="restart"/>
            <w:vAlign w:val="center"/>
          </w:tcPr>
          <w:p w14:paraId="21B22DF4">
            <w:r>
              <w:rPr>
                <w:b/>
              </w:rPr>
              <w:t>强制条文，必须满足</w:t>
            </w:r>
          </w:p>
        </w:tc>
      </w:tr>
      <w:tr w14:paraId="7AB39D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 w14:paraId="60162F18"/>
        </w:tc>
        <w:tc>
          <w:tcPr>
            <w:tcW w:w="2800" w:type="dxa"/>
            <w:vAlign w:val="center"/>
          </w:tcPr>
          <w:p w14:paraId="4E199092">
            <w:r>
              <w:rPr>
                <w:b/>
              </w:rPr>
              <w:t>活动场地遮阳覆盖率</w:t>
            </w:r>
          </w:p>
        </w:tc>
        <w:tc>
          <w:tcPr>
            <w:tcW w:w="1866" w:type="dxa"/>
            <w:vAlign w:val="center"/>
          </w:tcPr>
          <w:p w14:paraId="45CC1D9C">
            <w:pPr>
              <w:rPr>
                <w:b/>
              </w:rPr>
            </w:pPr>
            <w:bookmarkStart w:id="53" w:name="活动场地遮阳覆盖率结论"/>
            <w:r>
              <w:rPr>
                <w:rFonts w:hint="eastAsia"/>
                <w:b/>
              </w:rPr>
              <w:t>满足</w:t>
            </w:r>
            <w:bookmarkEnd w:id="53"/>
          </w:p>
        </w:tc>
        <w:tc>
          <w:tcPr>
            <w:tcW w:w="2800" w:type="dxa"/>
            <w:vMerge w:val="continue"/>
            <w:vAlign w:val="center"/>
          </w:tcPr>
          <w:p w14:paraId="4298CB14"/>
        </w:tc>
      </w:tr>
      <w:tr w14:paraId="587000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restart"/>
            <w:shd w:val="clear" w:color="auto" w:fill="E6E6E6"/>
            <w:vAlign w:val="center"/>
          </w:tcPr>
          <w:p w14:paraId="57A28CAF">
            <w:r>
              <w:t>规定性设计</w:t>
            </w:r>
          </w:p>
        </w:tc>
        <w:tc>
          <w:tcPr>
            <w:tcW w:w="2800" w:type="dxa"/>
            <w:vAlign w:val="center"/>
          </w:tcPr>
          <w:p w14:paraId="11FC09CB">
            <w:r>
              <w:t>底层通风架空率</w:t>
            </w:r>
          </w:p>
        </w:tc>
        <w:tc>
          <w:tcPr>
            <w:tcW w:w="1866" w:type="dxa"/>
            <w:vAlign w:val="center"/>
          </w:tcPr>
          <w:p w14:paraId="0D1059A9">
            <w:bookmarkStart w:id="54" w:name="底层通风架空率结论"/>
            <w:r>
              <w:t>满足</w:t>
            </w:r>
            <w:bookmarkEnd w:id="54"/>
          </w:p>
        </w:tc>
        <w:tc>
          <w:tcPr>
            <w:tcW w:w="2800" w:type="dxa"/>
            <w:vMerge w:val="restart"/>
            <w:vAlign w:val="center"/>
          </w:tcPr>
          <w:p w14:paraId="474C629D">
            <w:r>
              <w:t>不满足任意一条时，进行评价性设计</w:t>
            </w:r>
          </w:p>
        </w:tc>
      </w:tr>
      <w:tr w14:paraId="6113BE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 w14:paraId="5BBE8C1F"/>
        </w:tc>
        <w:tc>
          <w:tcPr>
            <w:tcW w:w="2800" w:type="dxa"/>
            <w:vAlign w:val="center"/>
          </w:tcPr>
          <w:p w14:paraId="38127135">
            <w:r>
              <w:t>绿化遮阳体叶面积指数</w:t>
            </w:r>
          </w:p>
        </w:tc>
        <w:tc>
          <w:tcPr>
            <w:tcW w:w="1866" w:type="dxa"/>
            <w:vAlign w:val="center"/>
          </w:tcPr>
          <w:p w14:paraId="368DBFF8">
            <w:bookmarkStart w:id="55" w:name="绿化遮阳体叶面积指数结论"/>
            <w:r>
              <w:t>满足</w:t>
            </w:r>
            <w:bookmarkEnd w:id="55"/>
          </w:p>
        </w:tc>
        <w:tc>
          <w:tcPr>
            <w:tcW w:w="2800" w:type="dxa"/>
            <w:vMerge w:val="continue"/>
            <w:vAlign w:val="center"/>
          </w:tcPr>
          <w:p w14:paraId="770A4C08"/>
        </w:tc>
      </w:tr>
      <w:tr w14:paraId="1A2BA5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 w14:paraId="4D9052DA"/>
        </w:tc>
        <w:tc>
          <w:tcPr>
            <w:tcW w:w="2800" w:type="dxa"/>
            <w:vAlign w:val="center"/>
          </w:tcPr>
          <w:p w14:paraId="34C75D59">
            <w:r>
              <w:t>渗透蒸发指标</w:t>
            </w:r>
          </w:p>
        </w:tc>
        <w:tc>
          <w:tcPr>
            <w:tcW w:w="1866" w:type="dxa"/>
            <w:vAlign w:val="center"/>
          </w:tcPr>
          <w:p w14:paraId="5F54E53D">
            <w:bookmarkStart w:id="56" w:name="渗透蒸发指标结论"/>
            <w:r>
              <w:t>满足</w:t>
            </w:r>
            <w:bookmarkEnd w:id="56"/>
          </w:p>
        </w:tc>
        <w:tc>
          <w:tcPr>
            <w:tcW w:w="2800" w:type="dxa"/>
            <w:vMerge w:val="continue"/>
            <w:vAlign w:val="center"/>
          </w:tcPr>
          <w:p w14:paraId="56EB410E"/>
        </w:tc>
      </w:tr>
      <w:tr w14:paraId="088384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 w14:paraId="17792387"/>
        </w:tc>
        <w:tc>
          <w:tcPr>
            <w:tcW w:w="2800" w:type="dxa"/>
            <w:vAlign w:val="center"/>
          </w:tcPr>
          <w:p w14:paraId="1D54A778">
            <w:r>
              <w:t>屋面绿化率</w:t>
            </w:r>
          </w:p>
        </w:tc>
        <w:tc>
          <w:tcPr>
            <w:tcW w:w="1866" w:type="dxa"/>
            <w:vAlign w:val="center"/>
          </w:tcPr>
          <w:p w14:paraId="53A96DA0">
            <w:bookmarkStart w:id="57" w:name="屋面绿化率结论"/>
            <w:r>
              <w:t>满足</w:t>
            </w:r>
            <w:bookmarkEnd w:id="57"/>
          </w:p>
        </w:tc>
        <w:tc>
          <w:tcPr>
            <w:tcW w:w="2800" w:type="dxa"/>
            <w:vMerge w:val="continue"/>
            <w:vAlign w:val="center"/>
          </w:tcPr>
          <w:p w14:paraId="25DF7475"/>
        </w:tc>
      </w:tr>
      <w:tr w14:paraId="49C7C6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7" w:type="dxa"/>
            <w:gridSpan w:val="2"/>
            <w:shd w:val="clear" w:color="auto" w:fill="E6E6E6"/>
            <w:vAlign w:val="center"/>
          </w:tcPr>
          <w:p w14:paraId="387DD2E0">
            <w:r>
              <w:t>结论</w:t>
            </w:r>
          </w:p>
        </w:tc>
        <w:tc>
          <w:tcPr>
            <w:tcW w:w="4666" w:type="dxa"/>
            <w:gridSpan w:val="2"/>
            <w:vAlign w:val="center"/>
          </w:tcPr>
          <w:p w14:paraId="4E0FA8B3">
            <w:pPr>
              <w:rPr>
                <w:b/>
              </w:rPr>
            </w:pPr>
            <w:bookmarkStart w:id="58" w:name="总结论"/>
            <w:r>
              <w:rPr>
                <w:rFonts w:hint="eastAsia"/>
                <w:b/>
              </w:rPr>
              <w:t>满足</w:t>
            </w:r>
            <w:bookmarkEnd w:id="58"/>
          </w:p>
        </w:tc>
      </w:tr>
    </w:tbl>
    <w:p w14:paraId="100D5C52">
      <w:pPr>
        <w:pStyle w:val="3"/>
        <w:ind w:firstLine="420"/>
        <w:rPr>
          <w:lang w:val="en-US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9278C5">
    <w:pPr>
      <w:pStyle w:val="14"/>
      <w:framePr w:wrap="around" w:vAnchor="text" w:hAnchor="margin" w:xAlign="center" w:y="1"/>
      <w:rPr>
        <w:rStyle w:val="24"/>
      </w:rPr>
    </w:pPr>
    <w:r>
      <w:fldChar w:fldCharType="begin"/>
    </w:r>
    <w:r>
      <w:rPr>
        <w:rStyle w:val="24"/>
      </w:rPr>
      <w:instrText xml:space="preserve">PAGE  </w:instrText>
    </w:r>
    <w:r>
      <w:fldChar w:fldCharType="separate"/>
    </w:r>
    <w:r>
      <w:rPr>
        <w:rStyle w:val="24"/>
      </w:rPr>
      <w:t>1</w:t>
    </w:r>
    <w:r>
      <w:fldChar w:fldCharType="end"/>
    </w:r>
  </w:p>
  <w:p w14:paraId="55300C9C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F067FA">
    <w:pPr>
      <w:pStyle w:val="14"/>
      <w:framePr w:wrap="around" w:vAnchor="text" w:hAnchor="margin" w:xAlign="center" w:y="1"/>
      <w:rPr>
        <w:rStyle w:val="24"/>
      </w:rPr>
    </w:pPr>
    <w:r>
      <w:fldChar w:fldCharType="begin"/>
    </w:r>
    <w:r>
      <w:rPr>
        <w:rStyle w:val="24"/>
      </w:rPr>
      <w:instrText xml:space="preserve">PAGE  </w:instrText>
    </w:r>
    <w:r>
      <w:fldChar w:fldCharType="end"/>
    </w:r>
  </w:p>
  <w:p w14:paraId="56D1A388"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8A94D9">
    <w:pPr>
      <w:pStyle w:val="14"/>
      <w:framePr w:wrap="around" w:vAnchor="text" w:hAnchor="margin" w:xAlign="center" w:y="1"/>
      <w:rPr>
        <w:rStyle w:val="24"/>
      </w:rPr>
    </w:pPr>
    <w:r>
      <w:rPr>
        <w:rStyle w:val="24"/>
      </w:rPr>
      <w:fldChar w:fldCharType="begin"/>
    </w:r>
    <w:r>
      <w:rPr>
        <w:rStyle w:val="24"/>
      </w:rPr>
      <w:instrText xml:space="preserve">PAGE  </w:instrText>
    </w:r>
    <w:r>
      <w:rPr>
        <w:rStyle w:val="24"/>
      </w:rPr>
      <w:fldChar w:fldCharType="separate"/>
    </w:r>
    <w:r>
      <w:rPr>
        <w:rStyle w:val="24"/>
      </w:rPr>
      <w:t>6</w:t>
    </w:r>
    <w:r>
      <w:rPr>
        <w:rStyle w:val="24"/>
      </w:rPr>
      <w:fldChar w:fldCharType="end"/>
    </w:r>
  </w:p>
  <w:p w14:paraId="0E7D4823">
    <w:pPr>
      <w:pStyle w:val="1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E222F6">
    <w:pPr>
      <w:pStyle w:val="14"/>
      <w:framePr w:wrap="around" w:vAnchor="text" w:hAnchor="margin" w:xAlign="center" w:y="1"/>
      <w:rPr>
        <w:rStyle w:val="24"/>
      </w:rPr>
    </w:pPr>
    <w:r>
      <w:rPr>
        <w:rStyle w:val="24"/>
      </w:rPr>
      <w:fldChar w:fldCharType="begin"/>
    </w:r>
    <w:r>
      <w:rPr>
        <w:rStyle w:val="24"/>
      </w:rPr>
      <w:instrText xml:space="preserve">PAGE  </w:instrText>
    </w:r>
    <w:r>
      <w:rPr>
        <w:rStyle w:val="24"/>
      </w:rPr>
      <w:fldChar w:fldCharType="end"/>
    </w:r>
  </w:p>
  <w:p w14:paraId="67644235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D93F29">
    <w:pPr>
      <w:pStyle w:val="15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683894702" name="图片 6838947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3894702" name="图片 68389470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9E430B">
    <w:pPr>
      <w:pStyle w:val="15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EA746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728002B"/>
    <w:rsid w:val="0000545C"/>
    <w:rsid w:val="0001409C"/>
    <w:rsid w:val="00026B3F"/>
    <w:rsid w:val="00037A4C"/>
    <w:rsid w:val="00051EA5"/>
    <w:rsid w:val="00053ED5"/>
    <w:rsid w:val="0005749E"/>
    <w:rsid w:val="0006535C"/>
    <w:rsid w:val="00075B39"/>
    <w:rsid w:val="000A30EF"/>
    <w:rsid w:val="000B10AF"/>
    <w:rsid w:val="000B2169"/>
    <w:rsid w:val="000B2FE8"/>
    <w:rsid w:val="000C5EBC"/>
    <w:rsid w:val="000D23A3"/>
    <w:rsid w:val="000E6711"/>
    <w:rsid w:val="000F23AD"/>
    <w:rsid w:val="000F6615"/>
    <w:rsid w:val="000F7EF2"/>
    <w:rsid w:val="001078A2"/>
    <w:rsid w:val="001103B1"/>
    <w:rsid w:val="001137ED"/>
    <w:rsid w:val="00116794"/>
    <w:rsid w:val="00117637"/>
    <w:rsid w:val="00122AE1"/>
    <w:rsid w:val="00125196"/>
    <w:rsid w:val="00135FAF"/>
    <w:rsid w:val="0014776A"/>
    <w:rsid w:val="00150A6F"/>
    <w:rsid w:val="001541C5"/>
    <w:rsid w:val="0016280A"/>
    <w:rsid w:val="001745BF"/>
    <w:rsid w:val="001812A0"/>
    <w:rsid w:val="001828F2"/>
    <w:rsid w:val="001B3169"/>
    <w:rsid w:val="001B7C87"/>
    <w:rsid w:val="001C59ED"/>
    <w:rsid w:val="001D4B47"/>
    <w:rsid w:val="001D6C1E"/>
    <w:rsid w:val="001F1D38"/>
    <w:rsid w:val="00203A7D"/>
    <w:rsid w:val="002109B0"/>
    <w:rsid w:val="002209B4"/>
    <w:rsid w:val="00234F4A"/>
    <w:rsid w:val="0023730B"/>
    <w:rsid w:val="00240A9E"/>
    <w:rsid w:val="00243608"/>
    <w:rsid w:val="00251126"/>
    <w:rsid w:val="002555B8"/>
    <w:rsid w:val="00256900"/>
    <w:rsid w:val="00272BDC"/>
    <w:rsid w:val="00285189"/>
    <w:rsid w:val="002A55EA"/>
    <w:rsid w:val="002B2BB0"/>
    <w:rsid w:val="002B4464"/>
    <w:rsid w:val="002F0C69"/>
    <w:rsid w:val="002F1F5C"/>
    <w:rsid w:val="0030437C"/>
    <w:rsid w:val="00310258"/>
    <w:rsid w:val="003121F7"/>
    <w:rsid w:val="00314D29"/>
    <w:rsid w:val="00327713"/>
    <w:rsid w:val="003320D8"/>
    <w:rsid w:val="00346AFD"/>
    <w:rsid w:val="00353066"/>
    <w:rsid w:val="00353FD3"/>
    <w:rsid w:val="0036613D"/>
    <w:rsid w:val="00366CF7"/>
    <w:rsid w:val="003746AC"/>
    <w:rsid w:val="00384F21"/>
    <w:rsid w:val="003B0012"/>
    <w:rsid w:val="003C6997"/>
    <w:rsid w:val="003E4437"/>
    <w:rsid w:val="00417088"/>
    <w:rsid w:val="00447C50"/>
    <w:rsid w:val="00463861"/>
    <w:rsid w:val="004654ED"/>
    <w:rsid w:val="004760A9"/>
    <w:rsid w:val="00480100"/>
    <w:rsid w:val="00480784"/>
    <w:rsid w:val="00481CF8"/>
    <w:rsid w:val="00486A3D"/>
    <w:rsid w:val="0048765E"/>
    <w:rsid w:val="00490A6C"/>
    <w:rsid w:val="00495F4C"/>
    <w:rsid w:val="00496E8B"/>
    <w:rsid w:val="004A29D4"/>
    <w:rsid w:val="004B5E97"/>
    <w:rsid w:val="004C4D23"/>
    <w:rsid w:val="004C69C1"/>
    <w:rsid w:val="004C79DA"/>
    <w:rsid w:val="004D230F"/>
    <w:rsid w:val="004D449D"/>
    <w:rsid w:val="004D5876"/>
    <w:rsid w:val="004E2129"/>
    <w:rsid w:val="004E291D"/>
    <w:rsid w:val="004E563F"/>
    <w:rsid w:val="004F534A"/>
    <w:rsid w:val="004F6872"/>
    <w:rsid w:val="004F694D"/>
    <w:rsid w:val="0050003A"/>
    <w:rsid w:val="00503750"/>
    <w:rsid w:val="00503B39"/>
    <w:rsid w:val="005053D6"/>
    <w:rsid w:val="005159DF"/>
    <w:rsid w:val="005207E3"/>
    <w:rsid w:val="005215FB"/>
    <w:rsid w:val="0054514B"/>
    <w:rsid w:val="00545FB7"/>
    <w:rsid w:val="00561C8F"/>
    <w:rsid w:val="005755BA"/>
    <w:rsid w:val="0057692D"/>
    <w:rsid w:val="005812C2"/>
    <w:rsid w:val="005C59B5"/>
    <w:rsid w:val="005C7162"/>
    <w:rsid w:val="005D7DB4"/>
    <w:rsid w:val="005E5D7C"/>
    <w:rsid w:val="005F7D7C"/>
    <w:rsid w:val="00613298"/>
    <w:rsid w:val="00651069"/>
    <w:rsid w:val="00657ADD"/>
    <w:rsid w:val="00671FB7"/>
    <w:rsid w:val="0067336D"/>
    <w:rsid w:val="00685427"/>
    <w:rsid w:val="00685C60"/>
    <w:rsid w:val="00694FCA"/>
    <w:rsid w:val="006A159C"/>
    <w:rsid w:val="006A38D1"/>
    <w:rsid w:val="006B5695"/>
    <w:rsid w:val="006B57E0"/>
    <w:rsid w:val="006C3941"/>
    <w:rsid w:val="006E4081"/>
    <w:rsid w:val="0072017E"/>
    <w:rsid w:val="0072152D"/>
    <w:rsid w:val="0072214C"/>
    <w:rsid w:val="007461BA"/>
    <w:rsid w:val="007514FE"/>
    <w:rsid w:val="007725EE"/>
    <w:rsid w:val="00774599"/>
    <w:rsid w:val="00783043"/>
    <w:rsid w:val="007D1A35"/>
    <w:rsid w:val="007E78A4"/>
    <w:rsid w:val="008153D6"/>
    <w:rsid w:val="00832581"/>
    <w:rsid w:val="008329E7"/>
    <w:rsid w:val="00862D9C"/>
    <w:rsid w:val="00870C53"/>
    <w:rsid w:val="00872A29"/>
    <w:rsid w:val="00875108"/>
    <w:rsid w:val="00883D6C"/>
    <w:rsid w:val="00886207"/>
    <w:rsid w:val="00897FCE"/>
    <w:rsid w:val="008B02AA"/>
    <w:rsid w:val="008B1B27"/>
    <w:rsid w:val="008B2417"/>
    <w:rsid w:val="008B6266"/>
    <w:rsid w:val="008B6B76"/>
    <w:rsid w:val="008E3905"/>
    <w:rsid w:val="008E7DE0"/>
    <w:rsid w:val="008F4A97"/>
    <w:rsid w:val="009115AF"/>
    <w:rsid w:val="00916B0E"/>
    <w:rsid w:val="00917B5B"/>
    <w:rsid w:val="0092562F"/>
    <w:rsid w:val="00935D40"/>
    <w:rsid w:val="00940A35"/>
    <w:rsid w:val="00940CDC"/>
    <w:rsid w:val="009410A0"/>
    <w:rsid w:val="00955355"/>
    <w:rsid w:val="00963036"/>
    <w:rsid w:val="009744B2"/>
    <w:rsid w:val="009B5732"/>
    <w:rsid w:val="009C3CAA"/>
    <w:rsid w:val="009C61AC"/>
    <w:rsid w:val="009D3A9F"/>
    <w:rsid w:val="009D580B"/>
    <w:rsid w:val="009D7B62"/>
    <w:rsid w:val="009E4629"/>
    <w:rsid w:val="009E4EB7"/>
    <w:rsid w:val="009E5E29"/>
    <w:rsid w:val="009F3F68"/>
    <w:rsid w:val="009F3F6B"/>
    <w:rsid w:val="00A0719E"/>
    <w:rsid w:val="00A20E2C"/>
    <w:rsid w:val="00A305A7"/>
    <w:rsid w:val="00A32590"/>
    <w:rsid w:val="00A355BD"/>
    <w:rsid w:val="00A402EA"/>
    <w:rsid w:val="00A43C67"/>
    <w:rsid w:val="00A53163"/>
    <w:rsid w:val="00A72106"/>
    <w:rsid w:val="00A72129"/>
    <w:rsid w:val="00A83D4E"/>
    <w:rsid w:val="00A85B01"/>
    <w:rsid w:val="00AA47FE"/>
    <w:rsid w:val="00AA7C65"/>
    <w:rsid w:val="00AB536D"/>
    <w:rsid w:val="00AC7EEF"/>
    <w:rsid w:val="00AD1383"/>
    <w:rsid w:val="00B047B3"/>
    <w:rsid w:val="00B107D2"/>
    <w:rsid w:val="00B10A58"/>
    <w:rsid w:val="00B16C0D"/>
    <w:rsid w:val="00B26E83"/>
    <w:rsid w:val="00B36FB1"/>
    <w:rsid w:val="00B41640"/>
    <w:rsid w:val="00B4240C"/>
    <w:rsid w:val="00B473C4"/>
    <w:rsid w:val="00B5358C"/>
    <w:rsid w:val="00B55B22"/>
    <w:rsid w:val="00B60841"/>
    <w:rsid w:val="00B645C9"/>
    <w:rsid w:val="00B70488"/>
    <w:rsid w:val="00B7457E"/>
    <w:rsid w:val="00B8421D"/>
    <w:rsid w:val="00BA50C0"/>
    <w:rsid w:val="00BA63DA"/>
    <w:rsid w:val="00BB1C06"/>
    <w:rsid w:val="00BC24EE"/>
    <w:rsid w:val="00BD489D"/>
    <w:rsid w:val="00BD4A14"/>
    <w:rsid w:val="00BE4349"/>
    <w:rsid w:val="00C0203A"/>
    <w:rsid w:val="00C21B0B"/>
    <w:rsid w:val="00C22E6B"/>
    <w:rsid w:val="00C3317F"/>
    <w:rsid w:val="00C43944"/>
    <w:rsid w:val="00C63237"/>
    <w:rsid w:val="00C67778"/>
    <w:rsid w:val="00C73687"/>
    <w:rsid w:val="00C83ED1"/>
    <w:rsid w:val="00C95557"/>
    <w:rsid w:val="00C97E25"/>
    <w:rsid w:val="00CA1AA5"/>
    <w:rsid w:val="00CA311D"/>
    <w:rsid w:val="00CB5853"/>
    <w:rsid w:val="00CC50E4"/>
    <w:rsid w:val="00CE14CD"/>
    <w:rsid w:val="00CE28AA"/>
    <w:rsid w:val="00CE3E52"/>
    <w:rsid w:val="00CE6578"/>
    <w:rsid w:val="00D23AA7"/>
    <w:rsid w:val="00D345DA"/>
    <w:rsid w:val="00D40158"/>
    <w:rsid w:val="00D43C46"/>
    <w:rsid w:val="00D478B3"/>
    <w:rsid w:val="00D5601F"/>
    <w:rsid w:val="00D605FE"/>
    <w:rsid w:val="00D62A9A"/>
    <w:rsid w:val="00D63713"/>
    <w:rsid w:val="00D96AE9"/>
    <w:rsid w:val="00DA1F89"/>
    <w:rsid w:val="00DC73AD"/>
    <w:rsid w:val="00DD16C4"/>
    <w:rsid w:val="00DD42A2"/>
    <w:rsid w:val="00DD50F9"/>
    <w:rsid w:val="00DE224D"/>
    <w:rsid w:val="00DF470C"/>
    <w:rsid w:val="00E0575B"/>
    <w:rsid w:val="00E16221"/>
    <w:rsid w:val="00E423BB"/>
    <w:rsid w:val="00E4518A"/>
    <w:rsid w:val="00E47F44"/>
    <w:rsid w:val="00E72EFD"/>
    <w:rsid w:val="00E75AC2"/>
    <w:rsid w:val="00E81ACD"/>
    <w:rsid w:val="00EA0210"/>
    <w:rsid w:val="00EA0B95"/>
    <w:rsid w:val="00EA3CE7"/>
    <w:rsid w:val="00EA741A"/>
    <w:rsid w:val="00EB1275"/>
    <w:rsid w:val="00EC27FD"/>
    <w:rsid w:val="00EC70F3"/>
    <w:rsid w:val="00EC7220"/>
    <w:rsid w:val="00ED2652"/>
    <w:rsid w:val="00ED3418"/>
    <w:rsid w:val="00EE005A"/>
    <w:rsid w:val="00EF0674"/>
    <w:rsid w:val="00EF5872"/>
    <w:rsid w:val="00EF5DD5"/>
    <w:rsid w:val="00F03100"/>
    <w:rsid w:val="00F107BC"/>
    <w:rsid w:val="00F16AE6"/>
    <w:rsid w:val="00F17B59"/>
    <w:rsid w:val="00F2167E"/>
    <w:rsid w:val="00F25DFA"/>
    <w:rsid w:val="00F312DB"/>
    <w:rsid w:val="00F4565A"/>
    <w:rsid w:val="00F4695E"/>
    <w:rsid w:val="00F7510E"/>
    <w:rsid w:val="00F75DD1"/>
    <w:rsid w:val="00F8742B"/>
    <w:rsid w:val="00F90890"/>
    <w:rsid w:val="00FA4B87"/>
    <w:rsid w:val="00FA733F"/>
    <w:rsid w:val="00FB4DA8"/>
    <w:rsid w:val="00FC0388"/>
    <w:rsid w:val="00FD4568"/>
    <w:rsid w:val="00FE25F2"/>
    <w:rsid w:val="00FF2243"/>
    <w:rsid w:val="17280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2">
    <w:name w:val="Default Paragraph Font"/>
    <w:semiHidden/>
    <w:unhideWhenUsed/>
    <w:uiPriority w:val="1"/>
  </w:style>
  <w:style w:type="table" w:default="1" w:styleId="2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link w:val="2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paragraph" w:styleId="18">
    <w:name w:val="Normal (Web)"/>
    <w:basedOn w:val="1"/>
    <w:unhideWhenUsed/>
    <w:uiPriority w:val="99"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/>
    </w:rPr>
  </w:style>
  <w:style w:type="paragraph" w:styleId="19">
    <w:name w:val="Title"/>
    <w:basedOn w:val="1"/>
    <w:next w:val="1"/>
    <w:link w:val="26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21">
    <w:name w:val="Table Grid"/>
    <w:basedOn w:val="20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Strong"/>
    <w:basedOn w:val="22"/>
    <w:qFormat/>
    <w:uiPriority w:val="22"/>
    <w:rPr>
      <w:b/>
      <w:bCs/>
    </w:rPr>
  </w:style>
  <w:style w:type="character" w:styleId="24">
    <w:name w:val="page number"/>
    <w:basedOn w:val="22"/>
    <w:uiPriority w:val="0"/>
  </w:style>
  <w:style w:type="character" w:styleId="25">
    <w:name w:val="Hyperlink"/>
    <w:uiPriority w:val="99"/>
    <w:rPr>
      <w:color w:val="0000FF"/>
      <w:u w:val="single"/>
    </w:rPr>
  </w:style>
  <w:style w:type="character" w:customStyle="1" w:styleId="26">
    <w:name w:val="标题 字符"/>
    <w:basedOn w:val="22"/>
    <w:link w:val="19"/>
    <w:uiPriority w:val="0"/>
    <w:rPr>
      <w:rFonts w:asciiTheme="majorHAnsi" w:hAnsiTheme="majorHAnsi" w:cstheme="majorBidi"/>
      <w:b/>
      <w:bCs/>
      <w:sz w:val="32"/>
      <w:szCs w:val="32"/>
      <w:lang w:val="en-GB"/>
    </w:rPr>
  </w:style>
  <w:style w:type="character" w:customStyle="1" w:styleId="27">
    <w:name w:val="页眉 字符"/>
    <w:basedOn w:val="22"/>
    <w:link w:val="15"/>
    <w:uiPriority w:val="0"/>
    <w:rPr>
      <w:sz w:val="21"/>
      <w:szCs w:val="18"/>
      <w:lang w:val="en-GB"/>
    </w:rPr>
  </w:style>
  <w:style w:type="table" w:customStyle="1" w:styleId="28">
    <w:name w:val="网格型1"/>
    <w:basedOn w:val="20"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5.bmp"/><Relationship Id="rId13" Type="http://schemas.openxmlformats.org/officeDocument/2006/relationships/image" Target="media/image4.bmp"/><Relationship Id="rId12" Type="http://schemas.openxmlformats.org/officeDocument/2006/relationships/image" Target="media/image3.png"/><Relationship Id="rId11" Type="http://schemas.openxmlformats.org/officeDocument/2006/relationships/image" Target="media/image2.bmp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8571\AppData\Local\Temp\tmp7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tmp7.dotx</Template>
  <Pages>9</Pages>
  <Words>2126</Words>
  <Characters>3293</Characters>
  <Lines>20</Lines>
  <Paragraphs>5</Paragraphs>
  <TotalTime>0</TotalTime>
  <ScaleCrop>false</ScaleCrop>
  <LinksUpToDate>false</LinksUpToDate>
  <CharactersWithSpaces>4769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2026-01-04T03:29:00Z</dcterms:created>
  <dc:creator>那些年的往事！！！</dc:creator>
  <cp:lastModifiedBy>那些年的往事！！！</cp:lastModifiedBy>
  <dcterms:modified xsi:type="dcterms:W3CDTF">2026-01-04T03:29:49Z</dcterms:modified>
  <dc:title>住区热环境规定性设计计算书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57D5D567E9A04DBEBE634889A9E66334_11</vt:lpwstr>
  </property>
  <property fmtid="{D5CDD505-2E9C-101B-9397-08002B2CF9AE}" pid="3" name="KSOTemplateDocerSaveRecord">
    <vt:lpwstr>eyJoZGlkIjoiYWMyNzFkNWFkMDUyMWU0YWY4NWNjN2Q1ZGI3MTQ1NGMiLCJ1c2VySWQiOiI1MjU4MTI0MDQifQ==</vt:lpwstr>
  </property>
  <property fmtid="{D5CDD505-2E9C-101B-9397-08002B2CF9AE}" pid="4" name="KSOProductBuildVer">
    <vt:lpwstr>2052-12.1.0.24034</vt:lpwstr>
  </property>
</Properties>
</file>