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FE0AF" w14:textId="77777777" w:rsidR="00BE7A22" w:rsidRPr="00B840E5" w:rsidRDefault="00000000">
      <w:pPr>
        <w:pStyle w:val="MainTitle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陕西西安小学绿色技术应用说明报告</w:t>
      </w:r>
    </w:p>
    <w:p w14:paraId="0C6B79C0" w14:textId="77777777" w:rsidR="00BE7A22" w:rsidRPr="00B840E5" w:rsidRDefault="00000000">
      <w:pPr>
        <w:pStyle w:val="Heading2Custom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——技术可行性与艺术适配性综合分析报告</w:t>
      </w:r>
    </w:p>
    <w:p w14:paraId="122A6038" w14:textId="77777777" w:rsidR="00BE7A22" w:rsidRPr="00B840E5" w:rsidRDefault="00000000">
      <w:pPr>
        <w:pStyle w:val="Heading1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一、项目基础信息</w:t>
      </w:r>
    </w:p>
    <w:p w14:paraId="7EB9F0EC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本项目位于陕西省西安市，属于夏热冬冷地区，具有典型的大陆性季风气候特征。项目所在地年降雨量600-700mm，基本雪压0.4kN/㎡，基本风压0.45kN/㎡，为绿色技术的应用提供了良好的气候条件。</w:t>
      </w:r>
    </w:p>
    <w:p w14:paraId="3E5C90DC" w14:textId="77777777" w:rsidR="00BE7A22" w:rsidRPr="00B840E5" w:rsidRDefault="00000000">
      <w:pPr>
        <w:pStyle w:val="TableTitle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表1：项目经济技术指标表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BE7A22" w:rsidRPr="00B840E5" w14:paraId="06193DCF" w14:textId="77777777">
        <w:trPr>
          <w:jc w:val="center"/>
        </w:trPr>
        <w:tc>
          <w:tcPr>
            <w:tcW w:w="2880" w:type="dxa"/>
          </w:tcPr>
          <w:p w14:paraId="002E1CF8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指标名称</w:t>
            </w:r>
            <w:proofErr w:type="spellEnd"/>
          </w:p>
        </w:tc>
        <w:tc>
          <w:tcPr>
            <w:tcW w:w="2880" w:type="dxa"/>
          </w:tcPr>
          <w:p w14:paraId="041A0FC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数值</w:t>
            </w:r>
            <w:proofErr w:type="spellEnd"/>
          </w:p>
        </w:tc>
        <w:tc>
          <w:tcPr>
            <w:tcW w:w="2880" w:type="dxa"/>
          </w:tcPr>
          <w:p w14:paraId="76DC8CFA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单位</w:t>
            </w:r>
            <w:proofErr w:type="spellEnd"/>
          </w:p>
        </w:tc>
      </w:tr>
      <w:tr w:rsidR="00BE7A22" w:rsidRPr="00B840E5" w14:paraId="36D9F615" w14:textId="77777777">
        <w:trPr>
          <w:jc w:val="center"/>
        </w:trPr>
        <w:tc>
          <w:tcPr>
            <w:tcW w:w="2880" w:type="dxa"/>
          </w:tcPr>
          <w:p w14:paraId="1164D99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建筑面积</w:t>
            </w:r>
            <w:proofErr w:type="spellEnd"/>
          </w:p>
        </w:tc>
        <w:tc>
          <w:tcPr>
            <w:tcW w:w="2880" w:type="dxa"/>
          </w:tcPr>
          <w:p w14:paraId="64FC097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17548.62</w:t>
            </w:r>
          </w:p>
        </w:tc>
        <w:tc>
          <w:tcPr>
            <w:tcW w:w="2880" w:type="dxa"/>
          </w:tcPr>
          <w:p w14:paraId="3404CA8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㎡</w:t>
            </w:r>
          </w:p>
        </w:tc>
      </w:tr>
      <w:tr w:rsidR="00BE7A22" w:rsidRPr="00B840E5" w14:paraId="49BE1FE7" w14:textId="77777777">
        <w:trPr>
          <w:jc w:val="center"/>
        </w:trPr>
        <w:tc>
          <w:tcPr>
            <w:tcW w:w="2880" w:type="dxa"/>
          </w:tcPr>
          <w:p w14:paraId="62C24C1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占地面积</w:t>
            </w:r>
            <w:proofErr w:type="spellEnd"/>
          </w:p>
        </w:tc>
        <w:tc>
          <w:tcPr>
            <w:tcW w:w="2880" w:type="dxa"/>
          </w:tcPr>
          <w:p w14:paraId="52EDB44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7511.63</w:t>
            </w:r>
          </w:p>
        </w:tc>
        <w:tc>
          <w:tcPr>
            <w:tcW w:w="2880" w:type="dxa"/>
          </w:tcPr>
          <w:p w14:paraId="0429917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㎡</w:t>
            </w:r>
          </w:p>
        </w:tc>
      </w:tr>
      <w:tr w:rsidR="00BE7A22" w:rsidRPr="00B840E5" w14:paraId="5C852A2A" w14:textId="77777777">
        <w:trPr>
          <w:jc w:val="center"/>
        </w:trPr>
        <w:tc>
          <w:tcPr>
            <w:tcW w:w="2880" w:type="dxa"/>
          </w:tcPr>
          <w:p w14:paraId="1DDAB81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基地面积</w:t>
            </w:r>
            <w:proofErr w:type="spellEnd"/>
          </w:p>
        </w:tc>
        <w:tc>
          <w:tcPr>
            <w:tcW w:w="2880" w:type="dxa"/>
          </w:tcPr>
          <w:p w14:paraId="6AD3FACD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32696.90</w:t>
            </w:r>
          </w:p>
        </w:tc>
        <w:tc>
          <w:tcPr>
            <w:tcW w:w="2880" w:type="dxa"/>
          </w:tcPr>
          <w:p w14:paraId="6149852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㎡</w:t>
            </w:r>
          </w:p>
        </w:tc>
      </w:tr>
      <w:tr w:rsidR="00BE7A22" w:rsidRPr="00B840E5" w14:paraId="37F2C354" w14:textId="77777777">
        <w:trPr>
          <w:jc w:val="center"/>
        </w:trPr>
        <w:tc>
          <w:tcPr>
            <w:tcW w:w="2880" w:type="dxa"/>
          </w:tcPr>
          <w:p w14:paraId="7BAF6BAA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建筑密度</w:t>
            </w:r>
            <w:proofErr w:type="spellEnd"/>
          </w:p>
        </w:tc>
        <w:tc>
          <w:tcPr>
            <w:tcW w:w="2880" w:type="dxa"/>
          </w:tcPr>
          <w:p w14:paraId="13C253D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23</w:t>
            </w:r>
          </w:p>
        </w:tc>
        <w:tc>
          <w:tcPr>
            <w:tcW w:w="2880" w:type="dxa"/>
          </w:tcPr>
          <w:p w14:paraId="21182FE9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%</w:t>
            </w:r>
          </w:p>
        </w:tc>
      </w:tr>
      <w:tr w:rsidR="00BE7A22" w:rsidRPr="00B840E5" w14:paraId="58C6D0AC" w14:textId="77777777">
        <w:trPr>
          <w:jc w:val="center"/>
        </w:trPr>
        <w:tc>
          <w:tcPr>
            <w:tcW w:w="2880" w:type="dxa"/>
          </w:tcPr>
          <w:p w14:paraId="773C448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容积率</w:t>
            </w:r>
            <w:proofErr w:type="spellEnd"/>
          </w:p>
        </w:tc>
        <w:tc>
          <w:tcPr>
            <w:tcW w:w="2880" w:type="dxa"/>
          </w:tcPr>
          <w:p w14:paraId="5E1D04A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0.53</w:t>
            </w:r>
          </w:p>
        </w:tc>
        <w:tc>
          <w:tcPr>
            <w:tcW w:w="2880" w:type="dxa"/>
          </w:tcPr>
          <w:p w14:paraId="1A480A7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-</w:t>
            </w:r>
          </w:p>
        </w:tc>
      </w:tr>
      <w:tr w:rsidR="00BE7A22" w:rsidRPr="00B840E5" w14:paraId="581371CB" w14:textId="77777777">
        <w:trPr>
          <w:jc w:val="center"/>
        </w:trPr>
        <w:tc>
          <w:tcPr>
            <w:tcW w:w="2880" w:type="dxa"/>
          </w:tcPr>
          <w:p w14:paraId="5E4034F8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绿地率</w:t>
            </w:r>
            <w:proofErr w:type="spellEnd"/>
          </w:p>
        </w:tc>
        <w:tc>
          <w:tcPr>
            <w:tcW w:w="2880" w:type="dxa"/>
          </w:tcPr>
          <w:p w14:paraId="603CE9C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32</w:t>
            </w:r>
          </w:p>
        </w:tc>
        <w:tc>
          <w:tcPr>
            <w:tcW w:w="2880" w:type="dxa"/>
          </w:tcPr>
          <w:p w14:paraId="1BE26A4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%</w:t>
            </w:r>
          </w:p>
        </w:tc>
      </w:tr>
      <w:tr w:rsidR="00BE7A22" w:rsidRPr="00B840E5" w14:paraId="0669A273" w14:textId="77777777">
        <w:trPr>
          <w:jc w:val="center"/>
        </w:trPr>
        <w:tc>
          <w:tcPr>
            <w:tcW w:w="2880" w:type="dxa"/>
          </w:tcPr>
          <w:p w14:paraId="7D01505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建筑层数</w:t>
            </w:r>
            <w:proofErr w:type="spellEnd"/>
          </w:p>
        </w:tc>
        <w:tc>
          <w:tcPr>
            <w:tcW w:w="2880" w:type="dxa"/>
          </w:tcPr>
          <w:p w14:paraId="3673DA0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3-5</w:t>
            </w:r>
          </w:p>
        </w:tc>
        <w:tc>
          <w:tcPr>
            <w:tcW w:w="2880" w:type="dxa"/>
          </w:tcPr>
          <w:p w14:paraId="1580B9E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层</w:t>
            </w:r>
          </w:p>
        </w:tc>
      </w:tr>
    </w:tbl>
    <w:p w14:paraId="1D89D817" w14:textId="77777777" w:rsidR="00BE7A22" w:rsidRPr="00B840E5" w:rsidRDefault="00BE7A22">
      <w:pPr>
        <w:rPr>
          <w:rFonts w:hint="eastAsia"/>
          <w:sz w:val="21"/>
          <w:szCs w:val="21"/>
        </w:rPr>
      </w:pPr>
    </w:p>
    <w:p w14:paraId="4C33BAAE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项目定位为现代化绿色小学，旨在通过系统性整合五项核心绿色技术，实现建筑全生命周期的节能减排目标，同时为师生提供健康舒适的学习生活环境。项目严格按照绿色建筑二星级标准进行设计，各项技术指标均满足或优于国家标准要求。</w:t>
      </w:r>
    </w:p>
    <w:p w14:paraId="778D7442" w14:textId="77777777" w:rsidR="00BE7A22" w:rsidRPr="00B840E5" w:rsidRDefault="00000000">
      <w:pPr>
        <w:pStyle w:val="Heading1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二、绿色技术集成应用方案</w:t>
      </w:r>
    </w:p>
    <w:p w14:paraId="08B1FA05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2.1 水循环节水技术：雨水回收+中水回用</w:t>
      </w:r>
    </w:p>
    <w:p w14:paraId="2ED156F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本项目采用雨水回收与中水回用相结合的水循环节水技术，通过屋面集水、管道输送、蓄水池存储、MBR膜生物处理等工艺，实现水资源的循环利用。该系统不仅能够有效节约水资源，还能减轻城市排水系统的负担，具有显著的环境效益和经济效益。</w:t>
      </w:r>
    </w:p>
    <w:p w14:paraId="30028166" w14:textId="77777777" w:rsidR="00BE7A22" w:rsidRPr="00B840E5" w:rsidRDefault="00000000">
      <w:pPr>
        <w:jc w:val="center"/>
        <w:rPr>
          <w:rFonts w:hint="eastAsia"/>
          <w:sz w:val="21"/>
          <w:szCs w:val="21"/>
          <w:lang w:eastAsia="zh-CN"/>
        </w:rPr>
      </w:pPr>
      <w:r w:rsidRPr="00B840E5">
        <w:rPr>
          <w:rFonts w:hint="eastAsia"/>
          <w:noProof/>
          <w:sz w:val="21"/>
          <w:szCs w:val="21"/>
          <w:lang w:eastAsia="zh-CN"/>
        </w:rPr>
        <w:lastRenderedPageBreak/>
        <w:drawing>
          <wp:inline distT="0" distB="0" distL="114300" distR="114300" wp14:anchorId="6652B093" wp14:editId="0D4CF553">
            <wp:extent cx="5484495" cy="4110990"/>
            <wp:effectExtent l="0" t="0" r="1905" b="3810"/>
            <wp:docPr id="7" name="图片 7" descr="水循环节水技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水循环节水技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F1F4" w14:textId="77777777" w:rsidR="00BE7A22" w:rsidRPr="00B840E5" w:rsidRDefault="00000000">
      <w:pPr>
        <w:pStyle w:val="FigureCaption"/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图1：水循环节水系统示意图</w:t>
      </w:r>
    </w:p>
    <w:p w14:paraId="69911DEA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（1）技术模型</w:t>
      </w:r>
    </w:p>
    <w:p w14:paraId="7F359902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基于BIM技术建立全流程系统模型，包括屋面集水→管道输送→蓄水池存储→MBR膜生物处理→回用等环节。系统采用曲面屋顶优化集水路径，参数化设计天沟、落水口等关键节点，确保雨水收集效率最大化。</w:t>
      </w:r>
    </w:p>
    <w:p w14:paraId="463BDD5C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系统技术特点：</w:t>
      </w:r>
    </w:p>
    <w:p w14:paraId="01A7E12D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屋面集水：采用虹吸式雨水斗，排水能力≥20L/s，集水效率高达95%。</w:t>
      </w:r>
    </w:p>
    <w:p w14:paraId="20762B2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管道输送：HDPE双壁波纹管，管径DN200-DN300，水力坡度0.5%。</w:t>
      </w:r>
    </w:p>
    <w:p w14:paraId="70624CA9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蓄水池存储：模块化HDPE蓄水池，有效容积2800m³，有效容积率95%。</w:t>
      </w:r>
    </w:p>
    <w:p w14:paraId="0623DE68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④ MBR膜生物处理：膜组件截留分子量50000Da，处理量50m³/d。</w:t>
      </w:r>
    </w:p>
    <w:p w14:paraId="2917DFF9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⑤ 回用系统：变频供水设备，供水压力0.2-0.4MPa，水质达到《城市污水再生利用》标准。</w:t>
      </w:r>
    </w:p>
    <w:p w14:paraId="13F82309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（2）关键节点大样</w:t>
      </w:r>
    </w:p>
    <w:p w14:paraId="3164C00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lastRenderedPageBreak/>
        <w:t>① 屋面雨水收集天沟：采用混凝土现浇，坡度0.5%，落水口配备不锈钢滤网，孔径5mm，有效防止杂物进入管道系统。</w:t>
      </w:r>
    </w:p>
    <w:p w14:paraId="01268E8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模块化HDPE蓄水池：采用HDPE材质，抗紫外线，耐酸碱腐蚀，使用寿命≥50年。单体模块尺寸1000</w:t>
      </w:r>
      <w:proofErr w:type="gramStart"/>
      <w:r w:rsidRPr="00B840E5">
        <w:rPr>
          <w:sz w:val="21"/>
          <w:szCs w:val="21"/>
          <w:lang w:eastAsia="zh-CN"/>
        </w:rPr>
        <w:t>×500×500</w:t>
      </w:r>
      <w:proofErr w:type="gramEnd"/>
      <w:r w:rsidRPr="00B840E5">
        <w:rPr>
          <w:sz w:val="21"/>
          <w:szCs w:val="21"/>
          <w:lang w:eastAsia="zh-CN"/>
        </w:rPr>
        <w:t>mm，采用承插式连接，安装便捷，密封性好。</w:t>
      </w:r>
    </w:p>
    <w:p w14:paraId="3F36924E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MBR中水处理设备：包括膜组件、曝气系统、反冲洗系统等。膜组件采用中空纤维膜，孔径0.1</w:t>
      </w:r>
      <w:r w:rsidRPr="00B840E5">
        <w:rPr>
          <w:sz w:val="21"/>
          <w:szCs w:val="21"/>
        </w:rPr>
        <w:t>μ</w:t>
      </w:r>
      <w:r w:rsidRPr="00B840E5">
        <w:rPr>
          <w:sz w:val="21"/>
          <w:szCs w:val="21"/>
          <w:lang w:eastAsia="zh-CN"/>
        </w:rPr>
        <w:t>m，处理效率高，出水水质稳定。</w:t>
      </w:r>
    </w:p>
    <w:p w14:paraId="2B979C32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（3）材料参数表</w:t>
      </w:r>
    </w:p>
    <w:p w14:paraId="724FF1A5" w14:textId="77777777" w:rsidR="00BE7A22" w:rsidRPr="00B840E5" w:rsidRDefault="00000000">
      <w:pPr>
        <w:pStyle w:val="TableTitle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表2：水循环节水系统材料参数表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BE7A22" w:rsidRPr="00B840E5" w14:paraId="15C317F3" w14:textId="77777777">
        <w:trPr>
          <w:jc w:val="center"/>
        </w:trPr>
        <w:tc>
          <w:tcPr>
            <w:tcW w:w="2160" w:type="dxa"/>
          </w:tcPr>
          <w:p w14:paraId="7FF62BB7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系统部位</w:t>
            </w:r>
            <w:proofErr w:type="spellEnd"/>
          </w:p>
        </w:tc>
        <w:tc>
          <w:tcPr>
            <w:tcW w:w="2160" w:type="dxa"/>
          </w:tcPr>
          <w:p w14:paraId="21F8178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材料名称</w:t>
            </w:r>
            <w:proofErr w:type="spellEnd"/>
          </w:p>
        </w:tc>
        <w:tc>
          <w:tcPr>
            <w:tcW w:w="2160" w:type="dxa"/>
          </w:tcPr>
          <w:p w14:paraId="45AB35E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规格</w:t>
            </w:r>
            <w:proofErr w:type="spellEnd"/>
            <w:r w:rsidRPr="00B840E5">
              <w:rPr>
                <w:sz w:val="21"/>
                <w:szCs w:val="21"/>
              </w:rPr>
              <w:t>/</w:t>
            </w:r>
            <w:proofErr w:type="spellStart"/>
            <w:r w:rsidRPr="00B840E5">
              <w:rPr>
                <w:sz w:val="21"/>
                <w:szCs w:val="21"/>
              </w:rPr>
              <w:t>型号</w:t>
            </w:r>
            <w:proofErr w:type="spellEnd"/>
          </w:p>
        </w:tc>
        <w:tc>
          <w:tcPr>
            <w:tcW w:w="2160" w:type="dxa"/>
          </w:tcPr>
          <w:p w14:paraId="543F26DF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性能参数</w:t>
            </w:r>
            <w:proofErr w:type="spellEnd"/>
          </w:p>
        </w:tc>
      </w:tr>
      <w:tr w:rsidR="00BE7A22" w:rsidRPr="00B840E5" w14:paraId="1868B05B" w14:textId="77777777">
        <w:trPr>
          <w:jc w:val="center"/>
        </w:trPr>
        <w:tc>
          <w:tcPr>
            <w:tcW w:w="2160" w:type="dxa"/>
          </w:tcPr>
          <w:p w14:paraId="787A7E1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收集系统</w:t>
            </w:r>
            <w:proofErr w:type="spellEnd"/>
          </w:p>
        </w:tc>
        <w:tc>
          <w:tcPr>
            <w:tcW w:w="2160" w:type="dxa"/>
          </w:tcPr>
          <w:p w14:paraId="0E436C9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HDPE雨水模块</w:t>
            </w:r>
            <w:proofErr w:type="spellEnd"/>
          </w:p>
        </w:tc>
        <w:tc>
          <w:tcPr>
            <w:tcW w:w="2160" w:type="dxa"/>
          </w:tcPr>
          <w:p w14:paraId="4BAA37B8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单体容积0.15m³</w:t>
            </w:r>
          </w:p>
        </w:tc>
        <w:tc>
          <w:tcPr>
            <w:tcW w:w="2160" w:type="dxa"/>
          </w:tcPr>
          <w:p w14:paraId="5C287DA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有效容积率95%，抗压强度≥200kPa</w:t>
            </w:r>
          </w:p>
        </w:tc>
      </w:tr>
      <w:tr w:rsidR="00BE7A22" w:rsidRPr="00B840E5" w14:paraId="3420BDE4" w14:textId="77777777">
        <w:trPr>
          <w:jc w:val="center"/>
        </w:trPr>
        <w:tc>
          <w:tcPr>
            <w:tcW w:w="2160" w:type="dxa"/>
          </w:tcPr>
          <w:p w14:paraId="03425A3F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处理系统</w:t>
            </w:r>
            <w:proofErr w:type="spellEnd"/>
          </w:p>
        </w:tc>
        <w:tc>
          <w:tcPr>
            <w:tcW w:w="2160" w:type="dxa"/>
          </w:tcPr>
          <w:p w14:paraId="238CC56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MBR膜组件</w:t>
            </w:r>
            <w:proofErr w:type="spellEnd"/>
          </w:p>
        </w:tc>
        <w:tc>
          <w:tcPr>
            <w:tcW w:w="2160" w:type="dxa"/>
          </w:tcPr>
          <w:p w14:paraId="6A7EDCAF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截留分子量50000Da</w:t>
            </w:r>
          </w:p>
        </w:tc>
        <w:tc>
          <w:tcPr>
            <w:tcW w:w="2160" w:type="dxa"/>
          </w:tcPr>
          <w:p w14:paraId="1FE5209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处理量5m³/d，出水水质达标</w:t>
            </w:r>
          </w:p>
        </w:tc>
      </w:tr>
      <w:tr w:rsidR="00BE7A22" w:rsidRPr="00B840E5" w14:paraId="7FB09E05" w14:textId="77777777">
        <w:trPr>
          <w:jc w:val="center"/>
        </w:trPr>
        <w:tc>
          <w:tcPr>
            <w:tcW w:w="2160" w:type="dxa"/>
          </w:tcPr>
          <w:p w14:paraId="672196A9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回用系统</w:t>
            </w:r>
            <w:proofErr w:type="spellEnd"/>
          </w:p>
        </w:tc>
        <w:tc>
          <w:tcPr>
            <w:tcW w:w="2160" w:type="dxa"/>
          </w:tcPr>
          <w:p w14:paraId="0E9DD28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微喷灌溉头</w:t>
            </w:r>
            <w:proofErr w:type="spellEnd"/>
          </w:p>
        </w:tc>
        <w:tc>
          <w:tcPr>
            <w:tcW w:w="2160" w:type="dxa"/>
          </w:tcPr>
          <w:p w14:paraId="57A12AB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流量1.2L/min</w:t>
            </w:r>
          </w:p>
        </w:tc>
        <w:tc>
          <w:tcPr>
            <w:tcW w:w="2160" w:type="dxa"/>
          </w:tcPr>
          <w:p w14:paraId="5CF009B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工作压力0.15MPa，喷洒均匀度≥85%</w:t>
            </w:r>
          </w:p>
        </w:tc>
      </w:tr>
      <w:tr w:rsidR="00BE7A22" w:rsidRPr="00B840E5" w14:paraId="5502832A" w14:textId="77777777">
        <w:trPr>
          <w:jc w:val="center"/>
        </w:trPr>
        <w:tc>
          <w:tcPr>
            <w:tcW w:w="2160" w:type="dxa"/>
          </w:tcPr>
          <w:p w14:paraId="35AB1409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管道系统</w:t>
            </w:r>
            <w:proofErr w:type="spellEnd"/>
          </w:p>
        </w:tc>
        <w:tc>
          <w:tcPr>
            <w:tcW w:w="2160" w:type="dxa"/>
          </w:tcPr>
          <w:p w14:paraId="7F2C7E99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HDPE双壁波纹管</w:t>
            </w:r>
            <w:proofErr w:type="spellEnd"/>
          </w:p>
        </w:tc>
        <w:tc>
          <w:tcPr>
            <w:tcW w:w="2160" w:type="dxa"/>
          </w:tcPr>
          <w:p w14:paraId="6901B1E9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DN200-DN300</w:t>
            </w:r>
          </w:p>
        </w:tc>
        <w:tc>
          <w:tcPr>
            <w:tcW w:w="2160" w:type="dxa"/>
          </w:tcPr>
          <w:p w14:paraId="01131B1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环刚度≥8kN/m²，使用寿命≥50年</w:t>
            </w:r>
          </w:p>
        </w:tc>
      </w:tr>
    </w:tbl>
    <w:p w14:paraId="5C6EC53D" w14:textId="77777777" w:rsidR="00BE7A22" w:rsidRPr="00B840E5" w:rsidRDefault="00BE7A22">
      <w:pPr>
        <w:rPr>
          <w:rFonts w:hint="eastAsia"/>
          <w:sz w:val="21"/>
          <w:szCs w:val="21"/>
          <w:lang w:eastAsia="zh-CN"/>
        </w:rPr>
      </w:pPr>
    </w:p>
    <w:p w14:paraId="20919871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（4）性能仿真</w:t>
      </w:r>
    </w:p>
    <w:p w14:paraId="0C91F461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采用SWMM软件进行雨水径流模拟，结果表明：</w:t>
      </w:r>
    </w:p>
    <w:p w14:paraId="5658F219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雨水径流控制：年径流总量控制率70%，在西安年降雨量650mm的条件下，集水面积7511.63㎡，年收集雨水量约18000m³。</w:t>
      </w:r>
    </w:p>
    <w:p w14:paraId="2D4C8026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中水回用平衡：冲厕用水30m³/d，绿化灌溉15m³/d，景观补水5m³/d，系统日处理量50m³，冗余10m³/d应对峰值用水需求。</w:t>
      </w:r>
    </w:p>
    <w:p w14:paraId="6ADD0E3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经济效益分析：年节约自来水约15000m³，按3.8元/m³计算，年节约水费约5.7万元，投资回收期约8年。</w:t>
      </w:r>
    </w:p>
    <w:p w14:paraId="3D764637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2.2 墙体保温技术：高性能外保温系统</w:t>
      </w:r>
    </w:p>
    <w:p w14:paraId="7D7092B4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墙体保温是建筑节能的关键环节，本项目采用高性能外保温系统，通过优化墙体构造层次，显著降低建筑能耗，提高室内热舒适度。系统采用石墨聚苯</w:t>
      </w:r>
      <w:proofErr w:type="gramStart"/>
      <w:r w:rsidRPr="00B840E5">
        <w:rPr>
          <w:sz w:val="21"/>
          <w:szCs w:val="21"/>
          <w:lang w:eastAsia="zh-CN"/>
        </w:rPr>
        <w:t>板作为</w:t>
      </w:r>
      <w:proofErr w:type="gramEnd"/>
      <w:r w:rsidRPr="00B840E5">
        <w:rPr>
          <w:sz w:val="21"/>
          <w:szCs w:val="21"/>
          <w:lang w:eastAsia="zh-CN"/>
        </w:rPr>
        <w:t>保温材料，具有导热系数低、保温性能好、防火性能优异等特点。</w:t>
      </w:r>
    </w:p>
    <w:p w14:paraId="62B904B7" w14:textId="77777777" w:rsidR="00BE7A22" w:rsidRPr="00B840E5" w:rsidRDefault="00000000">
      <w:pPr>
        <w:jc w:val="center"/>
        <w:rPr>
          <w:rFonts w:hint="eastAsia"/>
          <w:sz w:val="21"/>
          <w:szCs w:val="21"/>
          <w:lang w:eastAsia="zh-CN"/>
        </w:rPr>
      </w:pPr>
      <w:r w:rsidRPr="00B840E5">
        <w:rPr>
          <w:rFonts w:hint="eastAsia"/>
          <w:noProof/>
          <w:sz w:val="21"/>
          <w:szCs w:val="21"/>
          <w:lang w:eastAsia="zh-CN"/>
        </w:rPr>
        <w:lastRenderedPageBreak/>
        <w:drawing>
          <wp:inline distT="0" distB="0" distL="114300" distR="114300" wp14:anchorId="5C6C1AF6" wp14:editId="3A5336D8">
            <wp:extent cx="5472430" cy="3870325"/>
            <wp:effectExtent l="0" t="0" r="1270" b="3175"/>
            <wp:docPr id="8" name="图片 8" descr="墙体保温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墙体保温分析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CE19" w14:textId="77777777" w:rsidR="00BE7A22" w:rsidRPr="00B840E5" w:rsidRDefault="00000000">
      <w:pPr>
        <w:pStyle w:val="FigureCaption"/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图2：墙体保温系统构造图</w:t>
      </w:r>
    </w:p>
    <w:p w14:paraId="0D4D8B53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（1）技术模型</w:t>
      </w:r>
    </w:p>
    <w:p w14:paraId="72E6948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在BIM模型中建立墙体构造层次，从内到外依次为：结构层→空气层20mm→石墨聚苯板50mm→抗裂砂浆+玻纤网→弹性涂料。系统采用外保温方式，有效避免热桥效应，提高保温效果。</w:t>
      </w:r>
    </w:p>
    <w:p w14:paraId="12DD647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墙体构造特点：</w:t>
      </w:r>
    </w:p>
    <w:p w14:paraId="526456FD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结构层：200mm</w:t>
      </w:r>
      <w:proofErr w:type="gramStart"/>
      <w:r w:rsidRPr="00B840E5">
        <w:rPr>
          <w:sz w:val="21"/>
          <w:szCs w:val="21"/>
          <w:lang w:eastAsia="zh-CN"/>
        </w:rPr>
        <w:t>厚蒸压</w:t>
      </w:r>
      <w:proofErr w:type="gramEnd"/>
      <w:r w:rsidRPr="00B840E5">
        <w:rPr>
          <w:sz w:val="21"/>
          <w:szCs w:val="21"/>
          <w:lang w:eastAsia="zh-CN"/>
        </w:rPr>
        <w:t>加气混凝土砌块，强度等级A3.5，导热系数0.20W/(</w:t>
      </w:r>
      <w:proofErr w:type="spellStart"/>
      <w:r w:rsidRPr="00B840E5">
        <w:rPr>
          <w:sz w:val="21"/>
          <w:szCs w:val="21"/>
          <w:lang w:eastAsia="zh-CN"/>
        </w:rPr>
        <w:t>m·K</w:t>
      </w:r>
      <w:proofErr w:type="spellEnd"/>
      <w:r w:rsidRPr="00B840E5">
        <w:rPr>
          <w:sz w:val="21"/>
          <w:szCs w:val="21"/>
          <w:lang w:eastAsia="zh-CN"/>
        </w:rPr>
        <w:t>)。</w:t>
      </w:r>
    </w:p>
    <w:p w14:paraId="6E6A0A5D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空气层：20mm厚空气层，起到缓冲和保温作用，导热系数0.026W/(</w:t>
      </w:r>
      <w:proofErr w:type="spellStart"/>
      <w:r w:rsidRPr="00B840E5">
        <w:rPr>
          <w:sz w:val="21"/>
          <w:szCs w:val="21"/>
          <w:lang w:eastAsia="zh-CN"/>
        </w:rPr>
        <w:t>m·K</w:t>
      </w:r>
      <w:proofErr w:type="spellEnd"/>
      <w:r w:rsidRPr="00B840E5">
        <w:rPr>
          <w:sz w:val="21"/>
          <w:szCs w:val="21"/>
          <w:lang w:eastAsia="zh-CN"/>
        </w:rPr>
        <w:t>)。</w:t>
      </w:r>
    </w:p>
    <w:p w14:paraId="751C858C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保温层：50mm厚石墨聚苯板，导热系数0.032W/(</w:t>
      </w:r>
      <w:proofErr w:type="spellStart"/>
      <w:r w:rsidRPr="00B840E5">
        <w:rPr>
          <w:sz w:val="21"/>
          <w:szCs w:val="21"/>
          <w:lang w:eastAsia="zh-CN"/>
        </w:rPr>
        <w:t>m·K</w:t>
      </w:r>
      <w:proofErr w:type="spellEnd"/>
      <w:r w:rsidRPr="00B840E5">
        <w:rPr>
          <w:sz w:val="21"/>
          <w:szCs w:val="21"/>
          <w:lang w:eastAsia="zh-CN"/>
        </w:rPr>
        <w:t>)，燃烧性能B1级。</w:t>
      </w:r>
    </w:p>
    <w:p w14:paraId="623C3E2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④ 抹面层：5mm厚聚合物抗裂砂浆，内掺耐碱玻纤网，单位面积160g/㎡。</w:t>
      </w:r>
    </w:p>
    <w:p w14:paraId="3C282B9D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⑤ 饰面层：2mm厚弹性涂料，颜色与建筑风格协调一致。</w:t>
      </w:r>
    </w:p>
    <w:p w14:paraId="6C1E05A4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（2）节点大样</w:t>
      </w:r>
    </w:p>
    <w:p w14:paraId="56CB5C16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外保温系统与门窗洞口连接节点：保温层翻包处理，宽度≥200mm，玻纤网搭接100mm，采用防水密封胶密封，有效防止雨水渗透。</w:t>
      </w:r>
    </w:p>
    <w:p w14:paraId="5298AD6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lastRenderedPageBreak/>
        <w:t>② 外保温系统与女儿墙连接节点：保温层延伸至女儿墙顶部，高度≥300mm，顶部设置金属盖板，防止雨水进入保温层。</w:t>
      </w:r>
    </w:p>
    <w:p w14:paraId="46413A75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锚固件设置：采用塑料膨胀锚栓，直径8mm，长度120mm，每平方米设置6个，确保保温层与基层墙体连接牢固。</w:t>
      </w:r>
    </w:p>
    <w:p w14:paraId="4F6C85E0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（3）材料参数</w:t>
      </w:r>
    </w:p>
    <w:p w14:paraId="1158C762" w14:textId="77777777" w:rsidR="00BE7A22" w:rsidRPr="00B840E5" w:rsidRDefault="00000000">
      <w:pPr>
        <w:pStyle w:val="TableTitle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表3：墙体保温系统材料参数表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728"/>
        <w:gridCol w:w="1728"/>
        <w:gridCol w:w="1728"/>
        <w:gridCol w:w="1728"/>
        <w:gridCol w:w="1728"/>
      </w:tblGrid>
      <w:tr w:rsidR="00BE7A22" w:rsidRPr="00B840E5" w14:paraId="3610F0A2" w14:textId="77777777">
        <w:trPr>
          <w:jc w:val="center"/>
        </w:trPr>
        <w:tc>
          <w:tcPr>
            <w:tcW w:w="1728" w:type="dxa"/>
          </w:tcPr>
          <w:p w14:paraId="15E5A86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部位</w:t>
            </w:r>
            <w:proofErr w:type="spellEnd"/>
          </w:p>
        </w:tc>
        <w:tc>
          <w:tcPr>
            <w:tcW w:w="1728" w:type="dxa"/>
          </w:tcPr>
          <w:p w14:paraId="267990C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材料</w:t>
            </w:r>
            <w:proofErr w:type="spellEnd"/>
          </w:p>
        </w:tc>
        <w:tc>
          <w:tcPr>
            <w:tcW w:w="1728" w:type="dxa"/>
          </w:tcPr>
          <w:p w14:paraId="20B38EE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厚度</w:t>
            </w:r>
            <w:proofErr w:type="spellEnd"/>
          </w:p>
        </w:tc>
        <w:tc>
          <w:tcPr>
            <w:tcW w:w="1728" w:type="dxa"/>
          </w:tcPr>
          <w:p w14:paraId="237D729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导热系数</w:t>
            </w:r>
            <w:proofErr w:type="spellEnd"/>
          </w:p>
        </w:tc>
        <w:tc>
          <w:tcPr>
            <w:tcW w:w="1728" w:type="dxa"/>
          </w:tcPr>
          <w:p w14:paraId="1EA188F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燃烧性能</w:t>
            </w:r>
            <w:proofErr w:type="spellEnd"/>
          </w:p>
        </w:tc>
      </w:tr>
      <w:tr w:rsidR="00BE7A22" w:rsidRPr="00B840E5" w14:paraId="391E7E05" w14:textId="77777777">
        <w:trPr>
          <w:jc w:val="center"/>
        </w:trPr>
        <w:tc>
          <w:tcPr>
            <w:tcW w:w="1728" w:type="dxa"/>
          </w:tcPr>
          <w:p w14:paraId="42EC3C7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保温层</w:t>
            </w:r>
            <w:proofErr w:type="spellEnd"/>
          </w:p>
        </w:tc>
        <w:tc>
          <w:tcPr>
            <w:tcW w:w="1728" w:type="dxa"/>
          </w:tcPr>
          <w:p w14:paraId="7BD84AE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石墨聚苯板</w:t>
            </w:r>
            <w:proofErr w:type="spellEnd"/>
          </w:p>
        </w:tc>
        <w:tc>
          <w:tcPr>
            <w:tcW w:w="1728" w:type="dxa"/>
          </w:tcPr>
          <w:p w14:paraId="33BDE65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50mm</w:t>
            </w:r>
          </w:p>
        </w:tc>
        <w:tc>
          <w:tcPr>
            <w:tcW w:w="1728" w:type="dxa"/>
          </w:tcPr>
          <w:p w14:paraId="173B806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0.032W/(</w:t>
            </w:r>
            <w:proofErr w:type="spellStart"/>
            <w:r w:rsidRPr="00B840E5">
              <w:rPr>
                <w:sz w:val="21"/>
                <w:szCs w:val="21"/>
              </w:rPr>
              <w:t>m·K</w:t>
            </w:r>
            <w:proofErr w:type="spellEnd"/>
            <w:r w:rsidRPr="00B840E5">
              <w:rPr>
                <w:sz w:val="21"/>
                <w:szCs w:val="21"/>
              </w:rPr>
              <w:t>)</w:t>
            </w:r>
          </w:p>
        </w:tc>
        <w:tc>
          <w:tcPr>
            <w:tcW w:w="1728" w:type="dxa"/>
          </w:tcPr>
          <w:p w14:paraId="60B9207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B1级</w:t>
            </w:r>
          </w:p>
        </w:tc>
      </w:tr>
      <w:tr w:rsidR="00BE7A22" w:rsidRPr="00B840E5" w14:paraId="385711F1" w14:textId="77777777">
        <w:trPr>
          <w:jc w:val="center"/>
        </w:trPr>
        <w:tc>
          <w:tcPr>
            <w:tcW w:w="1728" w:type="dxa"/>
          </w:tcPr>
          <w:p w14:paraId="61D56007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抹面层</w:t>
            </w:r>
            <w:proofErr w:type="spellEnd"/>
          </w:p>
        </w:tc>
        <w:tc>
          <w:tcPr>
            <w:tcW w:w="1728" w:type="dxa"/>
          </w:tcPr>
          <w:p w14:paraId="51D1E10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聚合物抗裂砂浆</w:t>
            </w:r>
            <w:proofErr w:type="spellEnd"/>
          </w:p>
        </w:tc>
        <w:tc>
          <w:tcPr>
            <w:tcW w:w="1728" w:type="dxa"/>
          </w:tcPr>
          <w:p w14:paraId="7BB3C13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5mm</w:t>
            </w:r>
          </w:p>
        </w:tc>
        <w:tc>
          <w:tcPr>
            <w:tcW w:w="1728" w:type="dxa"/>
          </w:tcPr>
          <w:p w14:paraId="3A08EAE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-</w:t>
            </w:r>
          </w:p>
        </w:tc>
        <w:tc>
          <w:tcPr>
            <w:tcW w:w="1728" w:type="dxa"/>
          </w:tcPr>
          <w:p w14:paraId="032833C7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-</w:t>
            </w:r>
          </w:p>
        </w:tc>
      </w:tr>
      <w:tr w:rsidR="00BE7A22" w:rsidRPr="00B840E5" w14:paraId="16192285" w14:textId="77777777">
        <w:trPr>
          <w:jc w:val="center"/>
        </w:trPr>
        <w:tc>
          <w:tcPr>
            <w:tcW w:w="1728" w:type="dxa"/>
          </w:tcPr>
          <w:p w14:paraId="7F580A5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防护层</w:t>
            </w:r>
            <w:proofErr w:type="spellEnd"/>
          </w:p>
        </w:tc>
        <w:tc>
          <w:tcPr>
            <w:tcW w:w="1728" w:type="dxa"/>
          </w:tcPr>
          <w:p w14:paraId="6F90A60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耐碱玻纤网</w:t>
            </w:r>
            <w:proofErr w:type="spellEnd"/>
          </w:p>
        </w:tc>
        <w:tc>
          <w:tcPr>
            <w:tcW w:w="1728" w:type="dxa"/>
          </w:tcPr>
          <w:p w14:paraId="1B3D79D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单位面积160g/㎡</w:t>
            </w:r>
          </w:p>
        </w:tc>
        <w:tc>
          <w:tcPr>
            <w:tcW w:w="1728" w:type="dxa"/>
          </w:tcPr>
          <w:p w14:paraId="2076E75F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-</w:t>
            </w:r>
          </w:p>
        </w:tc>
        <w:tc>
          <w:tcPr>
            <w:tcW w:w="1728" w:type="dxa"/>
          </w:tcPr>
          <w:p w14:paraId="0C96F3F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耐碱断裂强力≥750N/50mm</w:t>
            </w:r>
          </w:p>
        </w:tc>
      </w:tr>
      <w:tr w:rsidR="00BE7A22" w:rsidRPr="00B840E5" w14:paraId="16C8268E" w14:textId="77777777">
        <w:trPr>
          <w:jc w:val="center"/>
        </w:trPr>
        <w:tc>
          <w:tcPr>
            <w:tcW w:w="1728" w:type="dxa"/>
          </w:tcPr>
          <w:p w14:paraId="5D4E041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结构层</w:t>
            </w:r>
            <w:proofErr w:type="spellEnd"/>
          </w:p>
        </w:tc>
        <w:tc>
          <w:tcPr>
            <w:tcW w:w="1728" w:type="dxa"/>
          </w:tcPr>
          <w:p w14:paraId="15007E1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蒸压加气混凝土砌块</w:t>
            </w:r>
            <w:proofErr w:type="spellEnd"/>
          </w:p>
        </w:tc>
        <w:tc>
          <w:tcPr>
            <w:tcW w:w="1728" w:type="dxa"/>
          </w:tcPr>
          <w:p w14:paraId="4EF1082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200mm</w:t>
            </w:r>
          </w:p>
        </w:tc>
        <w:tc>
          <w:tcPr>
            <w:tcW w:w="1728" w:type="dxa"/>
          </w:tcPr>
          <w:p w14:paraId="0FD1851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0.20W/(</w:t>
            </w:r>
            <w:proofErr w:type="spellStart"/>
            <w:r w:rsidRPr="00B840E5">
              <w:rPr>
                <w:sz w:val="21"/>
                <w:szCs w:val="21"/>
              </w:rPr>
              <w:t>m·K</w:t>
            </w:r>
            <w:proofErr w:type="spellEnd"/>
            <w:r w:rsidRPr="00B840E5">
              <w:rPr>
                <w:sz w:val="21"/>
                <w:szCs w:val="21"/>
              </w:rPr>
              <w:t>)</w:t>
            </w:r>
          </w:p>
        </w:tc>
        <w:tc>
          <w:tcPr>
            <w:tcW w:w="1728" w:type="dxa"/>
          </w:tcPr>
          <w:p w14:paraId="73EAEE6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A级</w:t>
            </w:r>
            <w:proofErr w:type="spellEnd"/>
          </w:p>
        </w:tc>
      </w:tr>
      <w:tr w:rsidR="00BE7A22" w:rsidRPr="00B840E5" w14:paraId="6751DDE3" w14:textId="77777777">
        <w:trPr>
          <w:jc w:val="center"/>
        </w:trPr>
        <w:tc>
          <w:tcPr>
            <w:tcW w:w="1728" w:type="dxa"/>
          </w:tcPr>
          <w:p w14:paraId="177BE04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空气层</w:t>
            </w:r>
            <w:proofErr w:type="spellEnd"/>
          </w:p>
        </w:tc>
        <w:tc>
          <w:tcPr>
            <w:tcW w:w="1728" w:type="dxa"/>
          </w:tcPr>
          <w:p w14:paraId="0658546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空气</w:t>
            </w:r>
            <w:proofErr w:type="spellEnd"/>
          </w:p>
        </w:tc>
        <w:tc>
          <w:tcPr>
            <w:tcW w:w="1728" w:type="dxa"/>
          </w:tcPr>
          <w:p w14:paraId="05AA748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20mm</w:t>
            </w:r>
          </w:p>
        </w:tc>
        <w:tc>
          <w:tcPr>
            <w:tcW w:w="1728" w:type="dxa"/>
          </w:tcPr>
          <w:p w14:paraId="7745C7C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0.026W/(</w:t>
            </w:r>
            <w:proofErr w:type="spellStart"/>
            <w:r w:rsidRPr="00B840E5">
              <w:rPr>
                <w:sz w:val="21"/>
                <w:szCs w:val="21"/>
              </w:rPr>
              <w:t>m·K</w:t>
            </w:r>
            <w:proofErr w:type="spellEnd"/>
            <w:r w:rsidRPr="00B840E5">
              <w:rPr>
                <w:sz w:val="21"/>
                <w:szCs w:val="21"/>
              </w:rPr>
              <w:t>)</w:t>
            </w:r>
          </w:p>
        </w:tc>
        <w:tc>
          <w:tcPr>
            <w:tcW w:w="1728" w:type="dxa"/>
          </w:tcPr>
          <w:p w14:paraId="4B0DB12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-</w:t>
            </w:r>
          </w:p>
        </w:tc>
      </w:tr>
    </w:tbl>
    <w:p w14:paraId="4ABA3A8F" w14:textId="77777777" w:rsidR="00BE7A22" w:rsidRPr="00B840E5" w:rsidRDefault="00BE7A22">
      <w:pPr>
        <w:rPr>
          <w:rFonts w:hint="eastAsia"/>
          <w:sz w:val="21"/>
          <w:szCs w:val="21"/>
        </w:rPr>
      </w:pPr>
    </w:p>
    <w:p w14:paraId="65656BC5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</w:rPr>
      </w:pPr>
      <w:r w:rsidRPr="00B840E5">
        <w:rPr>
          <w:rFonts w:ascii="宋体" w:eastAsia="宋体" w:hAnsi="宋体"/>
          <w:sz w:val="21"/>
          <w:szCs w:val="21"/>
        </w:rPr>
        <w:t>（4）热工模拟</w:t>
      </w:r>
    </w:p>
    <w:p w14:paraId="7EE44D03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采用</w:t>
      </w:r>
      <w:proofErr w:type="spellStart"/>
      <w:r w:rsidRPr="00B840E5">
        <w:rPr>
          <w:sz w:val="21"/>
          <w:szCs w:val="21"/>
          <w:lang w:eastAsia="zh-CN"/>
        </w:rPr>
        <w:t>DeST</w:t>
      </w:r>
      <w:proofErr w:type="spellEnd"/>
      <w:r w:rsidRPr="00B840E5">
        <w:rPr>
          <w:sz w:val="21"/>
          <w:szCs w:val="21"/>
          <w:lang w:eastAsia="zh-CN"/>
        </w:rPr>
        <w:t>软件进行热工性能模拟，结果表明：</w:t>
      </w:r>
    </w:p>
    <w:p w14:paraId="176B743D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外墙传热系数K=0.58W/(㎡·K)，满足夏热冬</w:t>
      </w:r>
      <w:proofErr w:type="gramStart"/>
      <w:r w:rsidRPr="00B840E5">
        <w:rPr>
          <w:sz w:val="21"/>
          <w:szCs w:val="21"/>
          <w:lang w:eastAsia="zh-CN"/>
        </w:rPr>
        <w:t>冷地区</w:t>
      </w:r>
      <w:proofErr w:type="gramEnd"/>
      <w:r w:rsidRPr="00B840E5">
        <w:rPr>
          <w:sz w:val="21"/>
          <w:szCs w:val="21"/>
          <w:lang w:eastAsia="zh-CN"/>
        </w:rPr>
        <w:t>≤0.6W/(㎡·K)的要求，保温性能优异。</w:t>
      </w:r>
    </w:p>
    <w:p w14:paraId="1056FD4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冬季教室外墙内表面温度14℃，室内设计温度20℃时，温差6℃，无结露风险，室内热舒适度良好。</w:t>
      </w:r>
    </w:p>
    <w:p w14:paraId="743FAB0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夏季空调能耗较普通外墙降低18%，年节约空调能耗约2.5万kWh，按0.8元/kWh计算，年节约电费约2万元。</w:t>
      </w:r>
    </w:p>
    <w:p w14:paraId="49919073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2.3 智能百叶窗系统：动态光热调节</w:t>
      </w:r>
    </w:p>
    <w:p w14:paraId="705F6251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智能百叶窗系统是一种集遮阳、采光、节能于一体的智能化建筑设备。本项目在南、东、西向窗户集成智能百叶窗，通过PLC控制器联动光照、温度传感器，实现百叶角度的自动调节，有效控制太阳辐射得热，提高室内光环境质量，降低建筑能耗。</w:t>
      </w:r>
    </w:p>
    <w:p w14:paraId="164BB5C3" w14:textId="77777777" w:rsidR="00BE7A22" w:rsidRPr="00B840E5" w:rsidRDefault="00000000">
      <w:pPr>
        <w:jc w:val="center"/>
        <w:rPr>
          <w:rFonts w:hint="eastAsia"/>
          <w:sz w:val="21"/>
          <w:szCs w:val="21"/>
          <w:lang w:eastAsia="zh-CN"/>
        </w:rPr>
      </w:pPr>
      <w:r w:rsidRPr="00B840E5">
        <w:rPr>
          <w:rFonts w:hint="eastAsia"/>
          <w:noProof/>
          <w:sz w:val="21"/>
          <w:szCs w:val="21"/>
          <w:lang w:eastAsia="zh-CN"/>
        </w:rPr>
        <w:lastRenderedPageBreak/>
        <w:drawing>
          <wp:inline distT="0" distB="0" distL="114300" distR="114300" wp14:anchorId="256BD064" wp14:editId="34265097">
            <wp:extent cx="5472430" cy="3870325"/>
            <wp:effectExtent l="0" t="0" r="1270" b="3175"/>
            <wp:docPr id="9" name="图片 9" descr="智能百叶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智能百叶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C8E3" w14:textId="77777777" w:rsidR="00BE7A22" w:rsidRPr="00B840E5" w:rsidRDefault="00000000">
      <w:pPr>
        <w:pStyle w:val="FigureCaption"/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图3：智能百叶窗系统原理图</w:t>
      </w:r>
    </w:p>
    <w:p w14:paraId="278F9E82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（1）技术模型</w:t>
      </w:r>
    </w:p>
    <w:p w14:paraId="4BC0A663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在BIM模型中南、东、西向窗户集成百叶系统，采用PLC控制器联动光照、温度传感器，百叶角度调节范围0-90°。系统根据室外太阳辐射强度、室内温度和照度自动调节百叶角度，实现动态光热调节。</w:t>
      </w:r>
    </w:p>
    <w:p w14:paraId="38BBF08B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系统技术特点：</w:t>
      </w:r>
    </w:p>
    <w:p w14:paraId="1D07D06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控制方式：PLC可编程控制器，支持手动/自动切换，调节精度±1°。</w:t>
      </w:r>
    </w:p>
    <w:p w14:paraId="4FD2B2F8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传感器：光照传感器量程0-2000lx，温度传感器量程-10-50℃。</w:t>
      </w:r>
    </w:p>
    <w:p w14:paraId="6128ACBB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驱动方式：直流24V电机，功率30W，转速5rpm，寿命≥5万次。</w:t>
      </w:r>
    </w:p>
    <w:p w14:paraId="70777D9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④ 通信方式：RS485总线，支持远程监控和集中控制。</w:t>
      </w:r>
    </w:p>
    <w:p w14:paraId="3318F24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⑤ 保护功能：过载保护、限位保护、雨水感应保护。</w:t>
      </w:r>
    </w:p>
    <w:p w14:paraId="5F135619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（2）节点大样</w:t>
      </w:r>
    </w:p>
    <w:p w14:paraId="03DAE1C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百叶窗型材与窗框连接：采用隐藏式电机安装方式，防水等级IP65，适应室外恶劣环境。百叶型材采用铝合金6063-T5，表面阳极氧化处理，厚度1.5mm。</w:t>
      </w:r>
    </w:p>
    <w:p w14:paraId="7F14BAA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lastRenderedPageBreak/>
        <w:t>② 传感器布线：预埋PVC套管，管径</w:t>
      </w:r>
      <w:r w:rsidRPr="00B840E5">
        <w:rPr>
          <w:sz w:val="21"/>
          <w:szCs w:val="21"/>
        </w:rPr>
        <w:t>Φ</w:t>
      </w:r>
      <w:r w:rsidRPr="00B840E5">
        <w:rPr>
          <w:sz w:val="21"/>
          <w:szCs w:val="21"/>
          <w:lang w:eastAsia="zh-CN"/>
        </w:rPr>
        <w:t>20，穿ZR-BV2×1.5导线，确保系统安全可靠运行。传感器安装高度距地面1.5m，避免阳光直射。</w:t>
      </w:r>
    </w:p>
    <w:p w14:paraId="59498251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控制系统安装：PLC控制器安装在专用控制箱内，防护等级IP54，具备防潮、防尘功能。控制箱尺寸300×400×150mm，安装高度距地面1.8m。</w:t>
      </w:r>
    </w:p>
    <w:p w14:paraId="74193BC2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（3）材料参数</w:t>
      </w:r>
    </w:p>
    <w:p w14:paraId="0716759F" w14:textId="77777777" w:rsidR="00BE7A22" w:rsidRPr="00B840E5" w:rsidRDefault="00000000">
      <w:pPr>
        <w:pStyle w:val="TableTitle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表4：智能百叶窗系统材料参数表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BE7A22" w:rsidRPr="00B840E5" w14:paraId="30125DC0" w14:textId="77777777">
        <w:trPr>
          <w:jc w:val="center"/>
        </w:trPr>
        <w:tc>
          <w:tcPr>
            <w:tcW w:w="2880" w:type="dxa"/>
          </w:tcPr>
          <w:p w14:paraId="03AAF6D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组件</w:t>
            </w:r>
            <w:proofErr w:type="spellEnd"/>
          </w:p>
        </w:tc>
        <w:tc>
          <w:tcPr>
            <w:tcW w:w="2880" w:type="dxa"/>
          </w:tcPr>
          <w:p w14:paraId="50CCFBD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规格</w:t>
            </w:r>
            <w:proofErr w:type="spellEnd"/>
            <w:r w:rsidRPr="00B840E5">
              <w:rPr>
                <w:sz w:val="21"/>
                <w:szCs w:val="21"/>
              </w:rPr>
              <w:t>/</w:t>
            </w:r>
            <w:proofErr w:type="spellStart"/>
            <w:r w:rsidRPr="00B840E5">
              <w:rPr>
                <w:sz w:val="21"/>
                <w:szCs w:val="21"/>
              </w:rPr>
              <w:t>型号</w:t>
            </w:r>
            <w:proofErr w:type="spellEnd"/>
          </w:p>
        </w:tc>
        <w:tc>
          <w:tcPr>
            <w:tcW w:w="2880" w:type="dxa"/>
          </w:tcPr>
          <w:p w14:paraId="62E6172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性能参数</w:t>
            </w:r>
            <w:proofErr w:type="spellEnd"/>
          </w:p>
        </w:tc>
      </w:tr>
      <w:tr w:rsidR="00BE7A22" w:rsidRPr="00B840E5" w14:paraId="4BCDF740" w14:textId="77777777">
        <w:trPr>
          <w:jc w:val="center"/>
        </w:trPr>
        <w:tc>
          <w:tcPr>
            <w:tcW w:w="2880" w:type="dxa"/>
          </w:tcPr>
          <w:p w14:paraId="4BA365E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百叶型材</w:t>
            </w:r>
            <w:proofErr w:type="spellEnd"/>
          </w:p>
        </w:tc>
        <w:tc>
          <w:tcPr>
            <w:tcW w:w="2880" w:type="dxa"/>
          </w:tcPr>
          <w:p w14:paraId="5688BF2F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铝合金6063-T5</w:t>
            </w:r>
          </w:p>
        </w:tc>
        <w:tc>
          <w:tcPr>
            <w:tcW w:w="2880" w:type="dxa"/>
          </w:tcPr>
          <w:p w14:paraId="571B425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表面阳极氧化，厚度1.5mm，导热系数200W/(</w:t>
            </w:r>
            <w:proofErr w:type="spellStart"/>
            <w:r w:rsidRPr="00B840E5">
              <w:rPr>
                <w:sz w:val="21"/>
                <w:szCs w:val="21"/>
                <w:lang w:eastAsia="zh-CN"/>
              </w:rPr>
              <w:t>m·K</w:t>
            </w:r>
            <w:proofErr w:type="spellEnd"/>
            <w:r w:rsidRPr="00B840E5">
              <w:rPr>
                <w:sz w:val="21"/>
                <w:szCs w:val="21"/>
                <w:lang w:eastAsia="zh-CN"/>
              </w:rPr>
              <w:t>)</w:t>
            </w:r>
          </w:p>
        </w:tc>
      </w:tr>
      <w:tr w:rsidR="00BE7A22" w:rsidRPr="00B840E5" w14:paraId="67EA098F" w14:textId="77777777">
        <w:trPr>
          <w:jc w:val="center"/>
        </w:trPr>
        <w:tc>
          <w:tcPr>
            <w:tcW w:w="2880" w:type="dxa"/>
          </w:tcPr>
          <w:p w14:paraId="379329B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驱动电机</w:t>
            </w:r>
            <w:proofErr w:type="spellEnd"/>
          </w:p>
        </w:tc>
        <w:tc>
          <w:tcPr>
            <w:tcW w:w="2880" w:type="dxa"/>
          </w:tcPr>
          <w:p w14:paraId="23B3442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直流24V</w:t>
            </w:r>
          </w:p>
        </w:tc>
        <w:tc>
          <w:tcPr>
            <w:tcW w:w="2880" w:type="dxa"/>
          </w:tcPr>
          <w:p w14:paraId="2F4AE96F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功率30W，转速5rpm，寿命≥5万次</w:t>
            </w:r>
          </w:p>
        </w:tc>
      </w:tr>
      <w:tr w:rsidR="00BE7A22" w:rsidRPr="00B840E5" w14:paraId="2C2846C1" w14:textId="77777777">
        <w:trPr>
          <w:jc w:val="center"/>
        </w:trPr>
        <w:tc>
          <w:tcPr>
            <w:tcW w:w="2880" w:type="dxa"/>
          </w:tcPr>
          <w:p w14:paraId="187DA2A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光照传感器</w:t>
            </w:r>
            <w:proofErr w:type="spellEnd"/>
          </w:p>
        </w:tc>
        <w:tc>
          <w:tcPr>
            <w:tcW w:w="2880" w:type="dxa"/>
          </w:tcPr>
          <w:p w14:paraId="26D64D4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光敏电阻</w:t>
            </w:r>
            <w:proofErr w:type="spellEnd"/>
          </w:p>
        </w:tc>
        <w:tc>
          <w:tcPr>
            <w:tcW w:w="2880" w:type="dxa"/>
          </w:tcPr>
          <w:p w14:paraId="0660018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量程0-2000lx，精度±5%</w:t>
            </w:r>
          </w:p>
        </w:tc>
      </w:tr>
      <w:tr w:rsidR="00BE7A22" w:rsidRPr="00B840E5" w14:paraId="77904D85" w14:textId="77777777">
        <w:trPr>
          <w:jc w:val="center"/>
        </w:trPr>
        <w:tc>
          <w:tcPr>
            <w:tcW w:w="2880" w:type="dxa"/>
          </w:tcPr>
          <w:p w14:paraId="202F2D5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温度传感器</w:t>
            </w:r>
            <w:proofErr w:type="spellEnd"/>
          </w:p>
        </w:tc>
        <w:tc>
          <w:tcPr>
            <w:tcW w:w="2880" w:type="dxa"/>
          </w:tcPr>
          <w:p w14:paraId="4CEBF4B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NTC热敏电阻</w:t>
            </w:r>
            <w:proofErr w:type="spellEnd"/>
          </w:p>
        </w:tc>
        <w:tc>
          <w:tcPr>
            <w:tcW w:w="2880" w:type="dxa"/>
          </w:tcPr>
          <w:p w14:paraId="1317151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量程-10-50℃，精度±0.5℃</w:t>
            </w:r>
          </w:p>
        </w:tc>
      </w:tr>
      <w:tr w:rsidR="00BE7A22" w:rsidRPr="00B840E5" w14:paraId="3DBD94F3" w14:textId="77777777">
        <w:trPr>
          <w:jc w:val="center"/>
        </w:trPr>
        <w:tc>
          <w:tcPr>
            <w:tcW w:w="2880" w:type="dxa"/>
          </w:tcPr>
          <w:p w14:paraId="75FADC6D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控制器</w:t>
            </w:r>
            <w:proofErr w:type="spellEnd"/>
          </w:p>
        </w:tc>
        <w:tc>
          <w:tcPr>
            <w:tcW w:w="2880" w:type="dxa"/>
          </w:tcPr>
          <w:p w14:paraId="33E73E3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PLC可编程</w:t>
            </w:r>
            <w:proofErr w:type="spellEnd"/>
          </w:p>
        </w:tc>
        <w:tc>
          <w:tcPr>
            <w:tcW w:w="2880" w:type="dxa"/>
          </w:tcPr>
          <w:p w14:paraId="494A2D6D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输入输出点数16点，供电AC220V</w:t>
            </w:r>
          </w:p>
        </w:tc>
      </w:tr>
    </w:tbl>
    <w:p w14:paraId="2D080CC3" w14:textId="77777777" w:rsidR="00BE7A22" w:rsidRPr="00B840E5" w:rsidRDefault="00BE7A22">
      <w:pPr>
        <w:rPr>
          <w:rFonts w:hint="eastAsia"/>
          <w:sz w:val="21"/>
          <w:szCs w:val="21"/>
          <w:lang w:eastAsia="zh-CN"/>
        </w:rPr>
      </w:pPr>
    </w:p>
    <w:p w14:paraId="28DE708E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（4）光环境模拟</w:t>
      </w:r>
    </w:p>
    <w:p w14:paraId="7890B7A6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采用</w:t>
      </w:r>
      <w:proofErr w:type="spellStart"/>
      <w:r w:rsidRPr="00B840E5">
        <w:rPr>
          <w:sz w:val="21"/>
          <w:szCs w:val="21"/>
          <w:lang w:eastAsia="zh-CN"/>
        </w:rPr>
        <w:t>Dialux</w:t>
      </w:r>
      <w:proofErr w:type="spellEnd"/>
      <w:r w:rsidRPr="00B840E5">
        <w:rPr>
          <w:sz w:val="21"/>
          <w:szCs w:val="21"/>
          <w:lang w:eastAsia="zh-CN"/>
        </w:rPr>
        <w:t>软件进行光环境模拟，结果表明：</w:t>
      </w:r>
    </w:p>
    <w:p w14:paraId="62E240C1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夏季遮阳效果：南向教室，太阳高度角60°时，百叶角度调节至45°，眩光值GR=18（&lt;22，无眩光），照度均匀度0.72，有效改善室内光环境。</w:t>
      </w:r>
    </w:p>
    <w:p w14:paraId="1CDB2A38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冬季采光效果：百叶全开状态下，教室采光系数3.2%（&gt;3%），满足《建筑采光设计标准》要求，减少人工照明时间2h/天。</w:t>
      </w:r>
    </w:p>
    <w:p w14:paraId="1EEF74B9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节能效果：通过动态调节百叶角度，夏季减少太阳辐射得热30%，冬季增加太阳辐射得热25%，年节约空调能耗约1.8万kWh。</w:t>
      </w:r>
    </w:p>
    <w:p w14:paraId="635D9088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2.4 曲面屋顶技术：采光+集水优化</w:t>
      </w:r>
    </w:p>
    <w:p w14:paraId="177E9B82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曲面屋顶技术是本项目的特色技术之一，采用参数化设计的正弦式波浪线造型，不仅具有独特的建筑美学效果，还能有效增加下层空间的通风作用，在室内形成大面积的蓄热体。白天可吸收室内热量，降低室内温度；夜晚结合通风设计措施对建筑楼板进行降温，具有显著的节能效果。</w:t>
      </w:r>
    </w:p>
    <w:p w14:paraId="6F20857E" w14:textId="77777777" w:rsidR="00BE7A22" w:rsidRPr="00B840E5" w:rsidRDefault="00000000">
      <w:pPr>
        <w:jc w:val="center"/>
        <w:rPr>
          <w:rFonts w:hint="eastAsia"/>
          <w:sz w:val="21"/>
          <w:szCs w:val="21"/>
          <w:lang w:eastAsia="zh-CN"/>
        </w:rPr>
      </w:pPr>
      <w:r w:rsidRPr="00B840E5">
        <w:rPr>
          <w:rFonts w:hint="eastAsia"/>
          <w:noProof/>
          <w:sz w:val="21"/>
          <w:szCs w:val="21"/>
          <w:lang w:eastAsia="zh-CN"/>
        </w:rPr>
        <w:lastRenderedPageBreak/>
        <w:drawing>
          <wp:inline distT="0" distB="0" distL="114300" distR="114300" wp14:anchorId="3CEE768A" wp14:editId="23466320">
            <wp:extent cx="5486400" cy="3371850"/>
            <wp:effectExtent l="0" t="0" r="0" b="6350"/>
            <wp:docPr id="6" name="图片 6" descr="曲面屋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曲面屋顶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269D" w14:textId="77777777" w:rsidR="00BE7A22" w:rsidRPr="00B840E5" w:rsidRDefault="00000000">
      <w:pPr>
        <w:pStyle w:val="FigureCaption"/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图4：曲面屋顶技术示意图</w:t>
      </w:r>
    </w:p>
    <w:p w14:paraId="2D0C27FB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（1）技术模型</w:t>
      </w:r>
    </w:p>
    <w:p w14:paraId="4666A4F2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采用参数化设计的曲面屋顶，波峰间距6m，波高1.2m，在BIM模型中集成采光天窗（波谷处2×3m）、雨水导流槽等功能节点。屋顶采用预制混凝土曲面板与钢桁架组合结构，具有良好的结构性能和防水性能。</w:t>
      </w:r>
    </w:p>
    <w:p w14:paraId="6AD2ACCE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屋顶构造特点：</w:t>
      </w:r>
    </w:p>
    <w:p w14:paraId="2F3C5352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结构形式：钢桁架+预制混凝土曲面板，跨度6m，高度1.2m。</w:t>
      </w:r>
    </w:p>
    <w:p w14:paraId="38554DA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采光系统：双层中空Low-E玻璃天窗，尺寸2×3m，间距6m。</w:t>
      </w:r>
    </w:p>
    <w:p w14:paraId="3B8FCEFD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排水系统：波谷处设置雨水导流槽，坡度0.5%，排水能力≥15L/s。</w:t>
      </w:r>
    </w:p>
    <w:p w14:paraId="17048DE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④ 保温系统：80mm厚岩棉板保温层，导热系数≤0.045W/(</w:t>
      </w:r>
      <w:proofErr w:type="spellStart"/>
      <w:r w:rsidRPr="00B840E5">
        <w:rPr>
          <w:sz w:val="21"/>
          <w:szCs w:val="21"/>
          <w:lang w:eastAsia="zh-CN"/>
        </w:rPr>
        <w:t>m·K</w:t>
      </w:r>
      <w:proofErr w:type="spellEnd"/>
      <w:r w:rsidRPr="00B840E5">
        <w:rPr>
          <w:sz w:val="21"/>
          <w:szCs w:val="21"/>
          <w:lang w:eastAsia="zh-CN"/>
        </w:rPr>
        <w:t>)。</w:t>
      </w:r>
    </w:p>
    <w:p w14:paraId="24C500DB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⑤ 防水系统：4mm厚SBS改性沥青防水卷材，耐热度≥90℃。</w:t>
      </w:r>
    </w:p>
    <w:p w14:paraId="34BEA9E6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（2）节点大样</w:t>
      </w:r>
    </w:p>
    <w:p w14:paraId="1188BC51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预制混凝土曲面板与钢桁架连接：采用预埋钢板焊接连接方式，焊缝高度6mm，防腐处理等级C3。钢桁架上弦杆采用200×100×6矩形管，腹杆采用150×75×5矩形管。</w:t>
      </w:r>
    </w:p>
    <w:p w14:paraId="45AD2825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天窗双层中空Low-E玻璃安装节点：采用结构硅酮胶密封，玻璃厚度6Low-E+12Ar+6，传热系数1.8W/(㎡·K)，遮阳系数0.4。天窗与曲面板之间设置伸缩缝，宽度20mm，用弹性密封胶填充。</w:t>
      </w:r>
    </w:p>
    <w:p w14:paraId="1EEA008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lastRenderedPageBreak/>
        <w:t>③ 雨水导流槽节点：采用不锈钢材质，厚度1.5mm，与曲面板之间设置防水卷材翻边，高度≥150mm，确保防水效果。</w:t>
      </w:r>
    </w:p>
    <w:p w14:paraId="12237398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（3）材料参数</w:t>
      </w:r>
    </w:p>
    <w:p w14:paraId="7516504D" w14:textId="77777777" w:rsidR="00BE7A22" w:rsidRPr="00B840E5" w:rsidRDefault="00000000">
      <w:pPr>
        <w:pStyle w:val="TableTitle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表5：曲面屋顶系统材料参数表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BE7A22" w:rsidRPr="00B840E5" w14:paraId="65FBE5BB" w14:textId="77777777">
        <w:trPr>
          <w:jc w:val="center"/>
        </w:trPr>
        <w:tc>
          <w:tcPr>
            <w:tcW w:w="2880" w:type="dxa"/>
          </w:tcPr>
          <w:p w14:paraId="7413A21D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部位</w:t>
            </w:r>
            <w:proofErr w:type="spellEnd"/>
          </w:p>
        </w:tc>
        <w:tc>
          <w:tcPr>
            <w:tcW w:w="2880" w:type="dxa"/>
          </w:tcPr>
          <w:p w14:paraId="303F346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材料</w:t>
            </w:r>
            <w:proofErr w:type="spellEnd"/>
          </w:p>
        </w:tc>
        <w:tc>
          <w:tcPr>
            <w:tcW w:w="2880" w:type="dxa"/>
          </w:tcPr>
          <w:p w14:paraId="03C98B9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规格</w:t>
            </w:r>
            <w:proofErr w:type="spellEnd"/>
            <w:r w:rsidRPr="00B840E5">
              <w:rPr>
                <w:sz w:val="21"/>
                <w:szCs w:val="21"/>
              </w:rPr>
              <w:t>/</w:t>
            </w:r>
            <w:proofErr w:type="spellStart"/>
            <w:r w:rsidRPr="00B840E5">
              <w:rPr>
                <w:sz w:val="21"/>
                <w:szCs w:val="21"/>
              </w:rPr>
              <w:t>性能</w:t>
            </w:r>
            <w:proofErr w:type="spellEnd"/>
          </w:p>
        </w:tc>
      </w:tr>
      <w:tr w:rsidR="00BE7A22" w:rsidRPr="00B840E5" w14:paraId="0F985316" w14:textId="77777777">
        <w:trPr>
          <w:jc w:val="center"/>
        </w:trPr>
        <w:tc>
          <w:tcPr>
            <w:tcW w:w="2880" w:type="dxa"/>
          </w:tcPr>
          <w:p w14:paraId="0BA92FA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曲面板</w:t>
            </w:r>
            <w:proofErr w:type="spellEnd"/>
          </w:p>
        </w:tc>
        <w:tc>
          <w:tcPr>
            <w:tcW w:w="2880" w:type="dxa"/>
          </w:tcPr>
          <w:p w14:paraId="7495985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预制混凝土</w:t>
            </w:r>
            <w:proofErr w:type="spellEnd"/>
          </w:p>
        </w:tc>
        <w:tc>
          <w:tcPr>
            <w:tcW w:w="2880" w:type="dxa"/>
          </w:tcPr>
          <w:p w14:paraId="2A01514A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厚度120mm，C30，容重25kN/m³</w:t>
            </w:r>
          </w:p>
        </w:tc>
      </w:tr>
      <w:tr w:rsidR="00BE7A22" w:rsidRPr="00B840E5" w14:paraId="67D6CB7C" w14:textId="77777777">
        <w:trPr>
          <w:jc w:val="center"/>
        </w:trPr>
        <w:tc>
          <w:tcPr>
            <w:tcW w:w="2880" w:type="dxa"/>
          </w:tcPr>
          <w:p w14:paraId="61B8263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钢桁架</w:t>
            </w:r>
            <w:proofErr w:type="spellEnd"/>
          </w:p>
        </w:tc>
        <w:tc>
          <w:tcPr>
            <w:tcW w:w="2880" w:type="dxa"/>
          </w:tcPr>
          <w:p w14:paraId="709FFBA7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Q235B</w:t>
            </w:r>
          </w:p>
        </w:tc>
        <w:tc>
          <w:tcPr>
            <w:tcW w:w="2880" w:type="dxa"/>
          </w:tcPr>
          <w:p w14:paraId="44861B6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上弦杆200×100×6，腹杆150×75×5，跨度6m</w:t>
            </w:r>
          </w:p>
        </w:tc>
      </w:tr>
      <w:tr w:rsidR="00BE7A22" w:rsidRPr="00B840E5" w14:paraId="51FD0538" w14:textId="77777777">
        <w:trPr>
          <w:jc w:val="center"/>
        </w:trPr>
        <w:tc>
          <w:tcPr>
            <w:tcW w:w="2880" w:type="dxa"/>
          </w:tcPr>
          <w:p w14:paraId="3649384D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天窗玻璃</w:t>
            </w:r>
            <w:proofErr w:type="spellEnd"/>
          </w:p>
        </w:tc>
        <w:tc>
          <w:tcPr>
            <w:tcW w:w="2880" w:type="dxa"/>
          </w:tcPr>
          <w:p w14:paraId="3201BD29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6Low-E+12Ar+6</w:t>
            </w:r>
          </w:p>
        </w:tc>
        <w:tc>
          <w:tcPr>
            <w:tcW w:w="2880" w:type="dxa"/>
          </w:tcPr>
          <w:p w14:paraId="07C2A9E9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传热系数1.8W/(㎡·K)，遮阳系数0.4</w:t>
            </w:r>
          </w:p>
        </w:tc>
      </w:tr>
      <w:tr w:rsidR="00BE7A22" w:rsidRPr="00B840E5" w14:paraId="711FC248" w14:textId="77777777">
        <w:trPr>
          <w:jc w:val="center"/>
        </w:trPr>
        <w:tc>
          <w:tcPr>
            <w:tcW w:w="2880" w:type="dxa"/>
          </w:tcPr>
          <w:p w14:paraId="72BE0A4F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保温层</w:t>
            </w:r>
            <w:proofErr w:type="spellEnd"/>
          </w:p>
        </w:tc>
        <w:tc>
          <w:tcPr>
            <w:tcW w:w="2880" w:type="dxa"/>
          </w:tcPr>
          <w:p w14:paraId="7F9E782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岩棉板</w:t>
            </w:r>
            <w:proofErr w:type="spellEnd"/>
          </w:p>
        </w:tc>
        <w:tc>
          <w:tcPr>
            <w:tcW w:w="2880" w:type="dxa"/>
          </w:tcPr>
          <w:p w14:paraId="7D7448F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厚度80mm，导热系数0.045W/(</w:t>
            </w:r>
            <w:proofErr w:type="spellStart"/>
            <w:r w:rsidRPr="00B840E5">
              <w:rPr>
                <w:sz w:val="21"/>
                <w:szCs w:val="21"/>
                <w:lang w:eastAsia="zh-CN"/>
              </w:rPr>
              <w:t>m·K</w:t>
            </w:r>
            <w:proofErr w:type="spellEnd"/>
            <w:r w:rsidRPr="00B840E5">
              <w:rPr>
                <w:sz w:val="21"/>
                <w:szCs w:val="21"/>
                <w:lang w:eastAsia="zh-CN"/>
              </w:rPr>
              <w:t>)</w:t>
            </w:r>
          </w:p>
        </w:tc>
      </w:tr>
      <w:tr w:rsidR="00BE7A22" w:rsidRPr="00B840E5" w14:paraId="3A55D9A1" w14:textId="77777777">
        <w:trPr>
          <w:jc w:val="center"/>
        </w:trPr>
        <w:tc>
          <w:tcPr>
            <w:tcW w:w="2880" w:type="dxa"/>
          </w:tcPr>
          <w:p w14:paraId="6A6D37E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防水层</w:t>
            </w:r>
            <w:proofErr w:type="spellEnd"/>
          </w:p>
        </w:tc>
        <w:tc>
          <w:tcPr>
            <w:tcW w:w="2880" w:type="dxa"/>
          </w:tcPr>
          <w:p w14:paraId="7B0724A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SBS改性沥青卷材</w:t>
            </w:r>
            <w:proofErr w:type="spellEnd"/>
          </w:p>
        </w:tc>
        <w:tc>
          <w:tcPr>
            <w:tcW w:w="2880" w:type="dxa"/>
          </w:tcPr>
          <w:p w14:paraId="5C155B2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厚度4mm，耐热度≥90℃</w:t>
            </w:r>
          </w:p>
        </w:tc>
      </w:tr>
      <w:tr w:rsidR="00BE7A22" w:rsidRPr="00B840E5" w14:paraId="05E9CBE0" w14:textId="77777777">
        <w:trPr>
          <w:jc w:val="center"/>
        </w:trPr>
        <w:tc>
          <w:tcPr>
            <w:tcW w:w="2880" w:type="dxa"/>
          </w:tcPr>
          <w:p w14:paraId="0A8ACAC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导流槽</w:t>
            </w:r>
            <w:proofErr w:type="spellEnd"/>
          </w:p>
        </w:tc>
        <w:tc>
          <w:tcPr>
            <w:tcW w:w="2880" w:type="dxa"/>
          </w:tcPr>
          <w:p w14:paraId="0991431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不锈钢</w:t>
            </w:r>
            <w:proofErr w:type="spellEnd"/>
          </w:p>
        </w:tc>
        <w:tc>
          <w:tcPr>
            <w:tcW w:w="2880" w:type="dxa"/>
          </w:tcPr>
          <w:p w14:paraId="24C71E8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厚度1.5mm，304材质，表面抛光处理</w:t>
            </w:r>
          </w:p>
        </w:tc>
      </w:tr>
    </w:tbl>
    <w:p w14:paraId="753F0CC4" w14:textId="77777777" w:rsidR="00BE7A22" w:rsidRPr="00B840E5" w:rsidRDefault="00BE7A22">
      <w:pPr>
        <w:rPr>
          <w:rFonts w:hint="eastAsia"/>
          <w:sz w:val="21"/>
          <w:szCs w:val="21"/>
          <w:lang w:eastAsia="zh-CN"/>
        </w:rPr>
      </w:pPr>
    </w:p>
    <w:p w14:paraId="0ED9A47B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（4）结构与光环境仿真</w:t>
      </w:r>
    </w:p>
    <w:p w14:paraId="4E87BE1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采用MIDAS软件进行结构性能模拟，</w:t>
      </w:r>
      <w:proofErr w:type="spellStart"/>
      <w:r w:rsidRPr="00B840E5">
        <w:rPr>
          <w:sz w:val="21"/>
          <w:szCs w:val="21"/>
          <w:lang w:eastAsia="zh-CN"/>
        </w:rPr>
        <w:t>Dialux</w:t>
      </w:r>
      <w:proofErr w:type="spellEnd"/>
      <w:r w:rsidRPr="00B840E5">
        <w:rPr>
          <w:sz w:val="21"/>
          <w:szCs w:val="21"/>
          <w:lang w:eastAsia="zh-CN"/>
        </w:rPr>
        <w:t>软件进行光环境模拟：</w:t>
      </w:r>
    </w:p>
    <w:p w14:paraId="4894C6DC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结构性能：雪荷载（0.4kN/㎡）作用下，曲面屋顶最大挠度12mm（&lt;L/200=30mm）；风荷载（0.495kN/㎡）作用下，桁架最大应力155MPa（&lt;Q235屈服强度235MPa），结构安全可靠。</w:t>
      </w:r>
    </w:p>
    <w:p w14:paraId="0E9DB07B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光环境性能：天窗区域照度较周边高35%，晴天上午9点，天窗下照度550lx，周边区域350lx，有效改善室内光环境，减少人工照明时间1.8h/天。</w:t>
      </w:r>
    </w:p>
    <w:p w14:paraId="528807E5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节能效果：曲面屋顶的蓄热作用使室内温度波动减小2℃，夏季室内温度降低1.5℃，冬季室内温度提高1℃，年节约空调能耗约2万kWh。</w:t>
      </w:r>
    </w:p>
    <w:p w14:paraId="47A3B249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2.5 屋顶绿化技术：微气候+生态改善</w:t>
      </w:r>
    </w:p>
    <w:p w14:paraId="6DFB690B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屋顶绿化技术是改善城市生态环境、缓解热岛效应的有效手段。本项目在屋顶设置绿化区域，覆盖面积2253㎡，占屋面面积的30%。屋顶绿化不仅能够美化建筑外观，还能改善建筑微气候，降低屋顶表面温度，提高建筑保温隔热性能，具有显著的环境效益和生态效益。</w:t>
      </w:r>
    </w:p>
    <w:p w14:paraId="60F9B29F" w14:textId="77777777" w:rsidR="00BE7A22" w:rsidRPr="00B840E5" w:rsidRDefault="00000000">
      <w:pPr>
        <w:jc w:val="center"/>
        <w:rPr>
          <w:rFonts w:hint="eastAsia"/>
          <w:sz w:val="21"/>
          <w:szCs w:val="21"/>
        </w:rPr>
      </w:pPr>
      <w:r w:rsidRPr="00B840E5">
        <w:rPr>
          <w:noProof/>
          <w:sz w:val="21"/>
          <w:szCs w:val="21"/>
        </w:rPr>
        <w:lastRenderedPageBreak/>
        <w:drawing>
          <wp:inline distT="0" distB="0" distL="114300" distR="114300" wp14:anchorId="5E55980B" wp14:editId="14B6BA89">
            <wp:extent cx="5039995" cy="1889760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5FB1" w14:textId="77777777" w:rsidR="00BE7A22" w:rsidRPr="00B840E5" w:rsidRDefault="00000000">
      <w:pPr>
        <w:pStyle w:val="FigureCaption"/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图5：屋顶绿化构造图</w:t>
      </w:r>
    </w:p>
    <w:p w14:paraId="34D1F2A7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（1）技术模型</w:t>
      </w:r>
    </w:p>
    <w:p w14:paraId="7556B2F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在BIM模型中建立屋顶绿化区域，构造层次从下到上依次为：结构板→SBS防水→保护层→排水板→过滤层→种植土→植被。系统采用轻质营养土，减轻屋顶荷载，同时确保植物生长需要。</w:t>
      </w:r>
    </w:p>
    <w:p w14:paraId="1A1D1782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绿化系统特点：</w:t>
      </w:r>
    </w:p>
    <w:p w14:paraId="691BA546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荷载控制：总荷载1.2kN/㎡，小于结构可承载荷载1.5kN/㎡。</w:t>
      </w:r>
    </w:p>
    <w:p w14:paraId="64A06078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防水系统：4mm厚SBS改性沥青防水卷材，上翻女儿墙300mm。</w:t>
      </w:r>
    </w:p>
    <w:p w14:paraId="77A1C6F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排水系统：PP排水板，导水高度10mm，压缩强度≥50kPa。</w:t>
      </w:r>
    </w:p>
    <w:p w14:paraId="145AD6BD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④ 种植系统：轻质营养土厚度80mm，容重1.2g/cm³，有机质≥10%。</w:t>
      </w:r>
    </w:p>
    <w:p w14:paraId="7BECBE7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⑤ 植物配置：佛甲草为主，搭配景天科植物，覆盖率98%。</w:t>
      </w:r>
    </w:p>
    <w:p w14:paraId="4452CE37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（2）节点大样</w:t>
      </w:r>
    </w:p>
    <w:p w14:paraId="37BDF3D1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屋面防水上翻女儿墙：防水卷材上</w:t>
      </w:r>
      <w:proofErr w:type="gramStart"/>
      <w:r w:rsidRPr="00B840E5">
        <w:rPr>
          <w:sz w:val="21"/>
          <w:szCs w:val="21"/>
          <w:lang w:eastAsia="zh-CN"/>
        </w:rPr>
        <w:t>翻高度</w:t>
      </w:r>
      <w:proofErr w:type="gramEnd"/>
      <w:r w:rsidRPr="00B840E5">
        <w:rPr>
          <w:sz w:val="21"/>
          <w:szCs w:val="21"/>
          <w:lang w:eastAsia="zh-CN"/>
        </w:rPr>
        <w:t>300mm，搭接宽度100mm，采用聚氨酯密封胶密封，确保防水效果。女儿墙顶部设置金属压条，防止卷材老化。</w:t>
      </w:r>
    </w:p>
    <w:p w14:paraId="0D3F589E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PP排水板铺设：排水板采用搭接方式，搭接宽度100mm，边缘采用压条固定，防止排水板移位。排水板与雨水口连接顺畅，确保排水通畅。</w:t>
      </w:r>
    </w:p>
    <w:p w14:paraId="52376802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种植土与植被配置：种植</w:t>
      </w:r>
      <w:proofErr w:type="gramStart"/>
      <w:r w:rsidRPr="00B840E5">
        <w:rPr>
          <w:sz w:val="21"/>
          <w:szCs w:val="21"/>
          <w:lang w:eastAsia="zh-CN"/>
        </w:rPr>
        <w:t>土采用</w:t>
      </w:r>
      <w:proofErr w:type="gramEnd"/>
      <w:r w:rsidRPr="00B840E5">
        <w:rPr>
          <w:sz w:val="21"/>
          <w:szCs w:val="21"/>
          <w:lang w:eastAsia="zh-CN"/>
        </w:rPr>
        <w:t>轻质营养土，配比为泥炭土:珍珠岩:蛭石=3:1:1，pH值6.5-7.5，适合佛甲草生长。植被采用佛甲草，耐寒耐旱，无需频繁维护。</w:t>
      </w:r>
    </w:p>
    <w:p w14:paraId="329E00ED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（3）材料参数</w:t>
      </w:r>
    </w:p>
    <w:p w14:paraId="729642A9" w14:textId="77777777" w:rsidR="00BE7A22" w:rsidRPr="00B840E5" w:rsidRDefault="00000000">
      <w:pPr>
        <w:pStyle w:val="TableTitle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表6：屋顶绿化系统材料参数表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BE7A22" w:rsidRPr="00B840E5" w14:paraId="52BD291A" w14:textId="77777777">
        <w:trPr>
          <w:jc w:val="center"/>
        </w:trPr>
        <w:tc>
          <w:tcPr>
            <w:tcW w:w="2880" w:type="dxa"/>
          </w:tcPr>
          <w:p w14:paraId="098840F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层次</w:t>
            </w:r>
            <w:proofErr w:type="spellEnd"/>
          </w:p>
        </w:tc>
        <w:tc>
          <w:tcPr>
            <w:tcW w:w="2880" w:type="dxa"/>
          </w:tcPr>
          <w:p w14:paraId="4B2FEE4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材料</w:t>
            </w:r>
            <w:proofErr w:type="spellEnd"/>
          </w:p>
        </w:tc>
        <w:tc>
          <w:tcPr>
            <w:tcW w:w="2880" w:type="dxa"/>
          </w:tcPr>
          <w:p w14:paraId="08D4473A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规格</w:t>
            </w:r>
            <w:proofErr w:type="spellEnd"/>
            <w:r w:rsidRPr="00B840E5">
              <w:rPr>
                <w:sz w:val="21"/>
                <w:szCs w:val="21"/>
              </w:rPr>
              <w:t>/</w:t>
            </w:r>
            <w:proofErr w:type="spellStart"/>
            <w:r w:rsidRPr="00B840E5">
              <w:rPr>
                <w:sz w:val="21"/>
                <w:szCs w:val="21"/>
              </w:rPr>
              <w:t>性能</w:t>
            </w:r>
            <w:proofErr w:type="spellEnd"/>
          </w:p>
        </w:tc>
      </w:tr>
      <w:tr w:rsidR="00BE7A22" w:rsidRPr="00B840E5" w14:paraId="68611A42" w14:textId="77777777">
        <w:trPr>
          <w:jc w:val="center"/>
        </w:trPr>
        <w:tc>
          <w:tcPr>
            <w:tcW w:w="2880" w:type="dxa"/>
          </w:tcPr>
          <w:p w14:paraId="3DDEAAA7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防水层</w:t>
            </w:r>
            <w:proofErr w:type="spellEnd"/>
          </w:p>
        </w:tc>
        <w:tc>
          <w:tcPr>
            <w:tcW w:w="2880" w:type="dxa"/>
          </w:tcPr>
          <w:p w14:paraId="2245AB3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SBS改性沥青卷材</w:t>
            </w:r>
            <w:proofErr w:type="spellEnd"/>
          </w:p>
        </w:tc>
        <w:tc>
          <w:tcPr>
            <w:tcW w:w="2880" w:type="dxa"/>
          </w:tcPr>
          <w:p w14:paraId="65C597E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4mm厚，拉力</w:t>
            </w:r>
            <w:r w:rsidRPr="00B840E5">
              <w:rPr>
                <w:sz w:val="21"/>
                <w:szCs w:val="21"/>
              </w:rPr>
              <w:lastRenderedPageBreak/>
              <w:t>≥500N/50mm，延伸率≥30%</w:t>
            </w:r>
          </w:p>
        </w:tc>
      </w:tr>
      <w:tr w:rsidR="00BE7A22" w:rsidRPr="00B840E5" w14:paraId="639D78BA" w14:textId="77777777">
        <w:trPr>
          <w:jc w:val="center"/>
        </w:trPr>
        <w:tc>
          <w:tcPr>
            <w:tcW w:w="2880" w:type="dxa"/>
          </w:tcPr>
          <w:p w14:paraId="70394FA8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lastRenderedPageBreak/>
              <w:t>保护层</w:t>
            </w:r>
            <w:proofErr w:type="spellEnd"/>
          </w:p>
        </w:tc>
        <w:tc>
          <w:tcPr>
            <w:tcW w:w="2880" w:type="dxa"/>
          </w:tcPr>
          <w:p w14:paraId="61B1DFA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C20细石混凝土</w:t>
            </w:r>
          </w:p>
        </w:tc>
        <w:tc>
          <w:tcPr>
            <w:tcW w:w="2880" w:type="dxa"/>
          </w:tcPr>
          <w:p w14:paraId="7FDD309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40mm厚，内配Φ4@200双向钢筋网</w:t>
            </w:r>
          </w:p>
        </w:tc>
      </w:tr>
      <w:tr w:rsidR="00BE7A22" w:rsidRPr="00B840E5" w14:paraId="01E7902F" w14:textId="77777777">
        <w:trPr>
          <w:jc w:val="center"/>
        </w:trPr>
        <w:tc>
          <w:tcPr>
            <w:tcW w:w="2880" w:type="dxa"/>
          </w:tcPr>
          <w:p w14:paraId="2B2D6531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排水层</w:t>
            </w:r>
            <w:proofErr w:type="spellEnd"/>
          </w:p>
        </w:tc>
        <w:tc>
          <w:tcPr>
            <w:tcW w:w="2880" w:type="dxa"/>
          </w:tcPr>
          <w:p w14:paraId="078FD8A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PP排水板</w:t>
            </w:r>
            <w:proofErr w:type="spellEnd"/>
          </w:p>
        </w:tc>
        <w:tc>
          <w:tcPr>
            <w:tcW w:w="2880" w:type="dxa"/>
          </w:tcPr>
          <w:p w14:paraId="3478307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导水高度10mm，压缩强度≥50kPa</w:t>
            </w:r>
          </w:p>
        </w:tc>
      </w:tr>
      <w:tr w:rsidR="00BE7A22" w:rsidRPr="00B840E5" w14:paraId="51E40E04" w14:textId="77777777">
        <w:trPr>
          <w:jc w:val="center"/>
        </w:trPr>
        <w:tc>
          <w:tcPr>
            <w:tcW w:w="2880" w:type="dxa"/>
          </w:tcPr>
          <w:p w14:paraId="2B931DD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过滤层</w:t>
            </w:r>
            <w:proofErr w:type="spellEnd"/>
          </w:p>
        </w:tc>
        <w:tc>
          <w:tcPr>
            <w:tcW w:w="2880" w:type="dxa"/>
          </w:tcPr>
          <w:p w14:paraId="45EC6E8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土工布</w:t>
            </w:r>
            <w:proofErr w:type="spellEnd"/>
          </w:p>
        </w:tc>
        <w:tc>
          <w:tcPr>
            <w:tcW w:w="2880" w:type="dxa"/>
          </w:tcPr>
          <w:p w14:paraId="1A588B48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单位面积200g/㎡，渗透系数≥1×10</w:t>
            </w:r>
            <w:r w:rsidRPr="00B840E5">
              <w:rPr>
                <w:rFonts w:ascii="Cambria Math" w:hAnsi="Cambria Math" w:cs="Cambria Math"/>
                <w:sz w:val="21"/>
                <w:szCs w:val="21"/>
              </w:rPr>
              <w:t>⁻</w:t>
            </w:r>
            <w:r w:rsidRPr="00B840E5">
              <w:rPr>
                <w:rFonts w:cs="宋体" w:hint="eastAsia"/>
                <w:sz w:val="21"/>
                <w:szCs w:val="21"/>
              </w:rPr>
              <w:t>³</w:t>
            </w:r>
            <w:r w:rsidRPr="00B840E5">
              <w:rPr>
                <w:sz w:val="21"/>
                <w:szCs w:val="21"/>
              </w:rPr>
              <w:t>cm/s</w:t>
            </w:r>
          </w:p>
        </w:tc>
      </w:tr>
      <w:tr w:rsidR="00BE7A22" w:rsidRPr="00B840E5" w14:paraId="4D1DEA90" w14:textId="77777777">
        <w:trPr>
          <w:jc w:val="center"/>
        </w:trPr>
        <w:tc>
          <w:tcPr>
            <w:tcW w:w="2880" w:type="dxa"/>
          </w:tcPr>
          <w:p w14:paraId="34FA868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种植土</w:t>
            </w:r>
            <w:proofErr w:type="spellEnd"/>
          </w:p>
        </w:tc>
        <w:tc>
          <w:tcPr>
            <w:tcW w:w="2880" w:type="dxa"/>
          </w:tcPr>
          <w:p w14:paraId="0A0778B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轻质营养土</w:t>
            </w:r>
            <w:proofErr w:type="spellEnd"/>
          </w:p>
        </w:tc>
        <w:tc>
          <w:tcPr>
            <w:tcW w:w="2880" w:type="dxa"/>
          </w:tcPr>
          <w:p w14:paraId="5BAE69C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厚80mm，容重1.2g/cm³，有机质≥10%</w:t>
            </w:r>
          </w:p>
        </w:tc>
      </w:tr>
      <w:tr w:rsidR="00BE7A22" w:rsidRPr="00B840E5" w14:paraId="52179767" w14:textId="77777777">
        <w:trPr>
          <w:jc w:val="center"/>
        </w:trPr>
        <w:tc>
          <w:tcPr>
            <w:tcW w:w="2880" w:type="dxa"/>
          </w:tcPr>
          <w:p w14:paraId="0FBC7147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植被</w:t>
            </w:r>
            <w:proofErr w:type="spellEnd"/>
          </w:p>
        </w:tc>
        <w:tc>
          <w:tcPr>
            <w:tcW w:w="2880" w:type="dxa"/>
          </w:tcPr>
          <w:p w14:paraId="4B5277E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佛甲草</w:t>
            </w:r>
            <w:proofErr w:type="spellEnd"/>
          </w:p>
        </w:tc>
        <w:tc>
          <w:tcPr>
            <w:tcW w:w="2880" w:type="dxa"/>
          </w:tcPr>
          <w:p w14:paraId="35CE9AD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多年生草本，覆盖率98%，耐寒-20℃</w:t>
            </w:r>
          </w:p>
        </w:tc>
      </w:tr>
      <w:tr w:rsidR="00BE7A22" w:rsidRPr="00B840E5" w14:paraId="036F6B54" w14:textId="77777777">
        <w:trPr>
          <w:jc w:val="center"/>
        </w:trPr>
        <w:tc>
          <w:tcPr>
            <w:tcW w:w="2880" w:type="dxa"/>
          </w:tcPr>
          <w:p w14:paraId="6E182E1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粘结层</w:t>
            </w:r>
            <w:proofErr w:type="spellEnd"/>
          </w:p>
        </w:tc>
        <w:tc>
          <w:tcPr>
            <w:tcW w:w="2880" w:type="dxa"/>
          </w:tcPr>
          <w:p w14:paraId="30AC58B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聚氨酯密封胶</w:t>
            </w:r>
            <w:proofErr w:type="spellEnd"/>
          </w:p>
        </w:tc>
        <w:tc>
          <w:tcPr>
            <w:tcW w:w="2880" w:type="dxa"/>
          </w:tcPr>
          <w:p w14:paraId="5ED3EE7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 w:rsidRPr="00B840E5">
              <w:rPr>
                <w:sz w:val="21"/>
                <w:szCs w:val="21"/>
                <w:lang w:eastAsia="zh-CN"/>
              </w:rPr>
              <w:t>拉伸强度≥1.0MPa，断裂伸长率≥300%</w:t>
            </w:r>
          </w:p>
        </w:tc>
      </w:tr>
    </w:tbl>
    <w:p w14:paraId="647515CF" w14:textId="77777777" w:rsidR="00BE7A22" w:rsidRPr="00B840E5" w:rsidRDefault="00BE7A22">
      <w:pPr>
        <w:rPr>
          <w:rFonts w:hint="eastAsia"/>
          <w:sz w:val="21"/>
          <w:szCs w:val="21"/>
          <w:lang w:eastAsia="zh-CN"/>
        </w:rPr>
      </w:pPr>
    </w:p>
    <w:p w14:paraId="7AD28B0D" w14:textId="77777777" w:rsidR="00BE7A22" w:rsidRPr="00B840E5" w:rsidRDefault="00000000">
      <w:pPr>
        <w:pStyle w:val="Heading3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（4）环境效益模拟</w:t>
      </w:r>
    </w:p>
    <w:p w14:paraId="7A2D5E4A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采用ENVI-met软件进行微气候模拟，结果表明：</w:t>
      </w:r>
    </w:p>
    <w:p w14:paraId="398744BB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降温效果：夏季绿化区地表温度28℃（非绿化区45℃），空气湿度55%（非绿化区40%）；冬季地表温度-2℃（非绿化区-6℃），有效改善建筑微气候。</w:t>
      </w:r>
    </w:p>
    <w:p w14:paraId="1564798D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生态效益：佛甲草覆盖率98%，吸引蝴蝶、蜜蜂等昆虫种类增加28%，生物多样性得到改善。年滞留雨水量1800m³，占降雨量的40%，削减地表径流峰值35%。</w:t>
      </w:r>
    </w:p>
    <w:p w14:paraId="4A97D1DE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节能效果：屋顶绿化使建筑顶层室内温度夏季降低2℃，冬季提高1.5℃，年节约空调能耗约1.2万kWh，按0.8元/kWh计算，年节约电费约0.96万元。</w:t>
      </w:r>
    </w:p>
    <w:p w14:paraId="3D5AFB9A" w14:textId="77777777" w:rsidR="00BE7A22" w:rsidRPr="00B840E5" w:rsidRDefault="00000000">
      <w:pPr>
        <w:pStyle w:val="Heading1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三、技术落地性验证</w:t>
      </w:r>
    </w:p>
    <w:p w14:paraId="6673277F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通过BIM技术模型、节点大样、材料参数与</w:t>
      </w:r>
      <w:proofErr w:type="gramStart"/>
      <w:r w:rsidRPr="00B840E5">
        <w:rPr>
          <w:sz w:val="21"/>
          <w:szCs w:val="21"/>
          <w:lang w:eastAsia="zh-CN"/>
        </w:rPr>
        <w:t>多软件</w:t>
      </w:r>
      <w:proofErr w:type="gramEnd"/>
      <w:r w:rsidRPr="00B840E5">
        <w:rPr>
          <w:sz w:val="21"/>
          <w:szCs w:val="21"/>
          <w:lang w:eastAsia="zh-CN"/>
        </w:rPr>
        <w:t>仿真（</w:t>
      </w:r>
      <w:proofErr w:type="spellStart"/>
      <w:r w:rsidRPr="00B840E5">
        <w:rPr>
          <w:sz w:val="21"/>
          <w:szCs w:val="21"/>
          <w:lang w:eastAsia="zh-CN"/>
        </w:rPr>
        <w:t>DeST</w:t>
      </w:r>
      <w:proofErr w:type="spellEnd"/>
      <w:r w:rsidRPr="00B840E5">
        <w:rPr>
          <w:sz w:val="21"/>
          <w:szCs w:val="21"/>
          <w:lang w:eastAsia="zh-CN"/>
        </w:rPr>
        <w:t>、</w:t>
      </w:r>
      <w:proofErr w:type="spellStart"/>
      <w:r w:rsidRPr="00B840E5">
        <w:rPr>
          <w:sz w:val="21"/>
          <w:szCs w:val="21"/>
          <w:lang w:eastAsia="zh-CN"/>
        </w:rPr>
        <w:t>Dialux</w:t>
      </w:r>
      <w:proofErr w:type="spellEnd"/>
      <w:r w:rsidRPr="00B840E5">
        <w:rPr>
          <w:sz w:val="21"/>
          <w:szCs w:val="21"/>
          <w:lang w:eastAsia="zh-CN"/>
        </w:rPr>
        <w:t>、MIDAS、ENVI-met），对五项绿色技术的落地性进行了全面验证，结果表明各项技术在技术协同性、经济可行性和政策符合性方面均具有良好的实施条件。</w:t>
      </w:r>
    </w:p>
    <w:p w14:paraId="6ABF2A32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3.1 技术协同性验证</w:t>
      </w:r>
    </w:p>
    <w:p w14:paraId="42C2B20E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五项绿色技术之间具有良好的协同效应，相互促进，形成了完整的绿色技术体系：</w:t>
      </w:r>
    </w:p>
    <w:p w14:paraId="4235A086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水循环与曲面屋顶集水联动：曲面屋顶的波浪造型优化了雨水收集路径，使雨水收集效率提升15%，为水循环系统提供了充足的水源。</w:t>
      </w:r>
    </w:p>
    <w:p w14:paraId="1E5BFB9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墙体保温+智能百叶降低空调负荷：高性能外保温系统与智能百叶窗的结合，使建筑空调负荷降低25%，显著提高了建筑节能效果。</w:t>
      </w:r>
    </w:p>
    <w:p w14:paraId="49CE96B5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屋顶绿化与曲面屋顶结构荷载兼容：屋顶绿化总荷载1.2kN/㎡，小于曲面屋顶结构可承载荷载1.5kN/㎡，结构安全可靠。</w:t>
      </w:r>
    </w:p>
    <w:p w14:paraId="15787DF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lastRenderedPageBreak/>
        <w:t>④ 智能控制系统集成：五项技术均采用智能化控制，通过统一的BIM平台进行集中管理，实现了系统的协同优化运行。</w:t>
      </w:r>
    </w:p>
    <w:p w14:paraId="4A8528E6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3.2 经济可行性分析</w:t>
      </w:r>
    </w:p>
    <w:p w14:paraId="717ED3EC" w14:textId="77777777" w:rsidR="00BE7A22" w:rsidRPr="00B840E5" w:rsidRDefault="00000000">
      <w:pPr>
        <w:pStyle w:val="TableTitle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表7：绿色技术增量成本与收益分析表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728"/>
        <w:gridCol w:w="1728"/>
        <w:gridCol w:w="1728"/>
        <w:gridCol w:w="1728"/>
        <w:gridCol w:w="1728"/>
      </w:tblGrid>
      <w:tr w:rsidR="00BE7A22" w:rsidRPr="00B840E5" w14:paraId="2D075F34" w14:textId="77777777">
        <w:trPr>
          <w:jc w:val="center"/>
        </w:trPr>
        <w:tc>
          <w:tcPr>
            <w:tcW w:w="1728" w:type="dxa"/>
          </w:tcPr>
          <w:p w14:paraId="2994F2C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技术系统</w:t>
            </w:r>
            <w:proofErr w:type="spellEnd"/>
          </w:p>
        </w:tc>
        <w:tc>
          <w:tcPr>
            <w:tcW w:w="1728" w:type="dxa"/>
          </w:tcPr>
          <w:p w14:paraId="52339C3B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增量成本</w:t>
            </w:r>
            <w:proofErr w:type="spellEnd"/>
            <w:r w:rsidRPr="00B840E5">
              <w:rPr>
                <w:sz w:val="21"/>
                <w:szCs w:val="21"/>
              </w:rPr>
              <w:t>(元/㎡)</w:t>
            </w:r>
          </w:p>
        </w:tc>
        <w:tc>
          <w:tcPr>
            <w:tcW w:w="1728" w:type="dxa"/>
          </w:tcPr>
          <w:p w14:paraId="20FD63A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总增量成本</w:t>
            </w:r>
            <w:proofErr w:type="spellEnd"/>
            <w:r w:rsidRPr="00B840E5">
              <w:rPr>
                <w:sz w:val="21"/>
                <w:szCs w:val="21"/>
              </w:rPr>
              <w:t>(</w:t>
            </w:r>
            <w:proofErr w:type="spellStart"/>
            <w:r w:rsidRPr="00B840E5">
              <w:rPr>
                <w:sz w:val="21"/>
                <w:szCs w:val="21"/>
              </w:rPr>
              <w:t>万元</w:t>
            </w:r>
            <w:proofErr w:type="spellEnd"/>
            <w:r w:rsidRPr="00B840E5">
              <w:rPr>
                <w:sz w:val="21"/>
                <w:szCs w:val="21"/>
              </w:rPr>
              <w:t>)</w:t>
            </w:r>
          </w:p>
        </w:tc>
        <w:tc>
          <w:tcPr>
            <w:tcW w:w="1728" w:type="dxa"/>
          </w:tcPr>
          <w:p w14:paraId="33E46D1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年收益</w:t>
            </w:r>
            <w:proofErr w:type="spellEnd"/>
            <w:r w:rsidRPr="00B840E5">
              <w:rPr>
                <w:sz w:val="21"/>
                <w:szCs w:val="21"/>
              </w:rPr>
              <w:t>(</w:t>
            </w:r>
            <w:proofErr w:type="spellStart"/>
            <w:r w:rsidRPr="00B840E5">
              <w:rPr>
                <w:sz w:val="21"/>
                <w:szCs w:val="21"/>
              </w:rPr>
              <w:t>万元</w:t>
            </w:r>
            <w:proofErr w:type="spellEnd"/>
            <w:r w:rsidRPr="00B840E5">
              <w:rPr>
                <w:sz w:val="21"/>
                <w:szCs w:val="21"/>
              </w:rPr>
              <w:t>)</w:t>
            </w:r>
          </w:p>
        </w:tc>
        <w:tc>
          <w:tcPr>
            <w:tcW w:w="1728" w:type="dxa"/>
          </w:tcPr>
          <w:p w14:paraId="5D3A9F8A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投资回收期</w:t>
            </w:r>
            <w:proofErr w:type="spellEnd"/>
            <w:r w:rsidRPr="00B840E5">
              <w:rPr>
                <w:sz w:val="21"/>
                <w:szCs w:val="21"/>
              </w:rPr>
              <w:t>(年)</w:t>
            </w:r>
          </w:p>
        </w:tc>
      </w:tr>
      <w:tr w:rsidR="00BE7A22" w:rsidRPr="00B840E5" w14:paraId="2DB35444" w14:textId="77777777">
        <w:trPr>
          <w:jc w:val="center"/>
        </w:trPr>
        <w:tc>
          <w:tcPr>
            <w:tcW w:w="1728" w:type="dxa"/>
          </w:tcPr>
          <w:p w14:paraId="0EDC2137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水循环节水系统</w:t>
            </w:r>
            <w:proofErr w:type="spellEnd"/>
          </w:p>
        </w:tc>
        <w:tc>
          <w:tcPr>
            <w:tcW w:w="1728" w:type="dxa"/>
          </w:tcPr>
          <w:p w14:paraId="2DF2EDD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80</w:t>
            </w:r>
          </w:p>
        </w:tc>
        <w:tc>
          <w:tcPr>
            <w:tcW w:w="1728" w:type="dxa"/>
          </w:tcPr>
          <w:p w14:paraId="5B9BD13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140.4</w:t>
            </w:r>
          </w:p>
        </w:tc>
        <w:tc>
          <w:tcPr>
            <w:tcW w:w="1728" w:type="dxa"/>
          </w:tcPr>
          <w:p w14:paraId="03B5D89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5.7</w:t>
            </w:r>
          </w:p>
        </w:tc>
        <w:tc>
          <w:tcPr>
            <w:tcW w:w="1728" w:type="dxa"/>
          </w:tcPr>
          <w:p w14:paraId="7243CA4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24.6</w:t>
            </w:r>
          </w:p>
        </w:tc>
      </w:tr>
      <w:tr w:rsidR="00BE7A22" w:rsidRPr="00B840E5" w14:paraId="14E3A2AF" w14:textId="77777777">
        <w:trPr>
          <w:jc w:val="center"/>
        </w:trPr>
        <w:tc>
          <w:tcPr>
            <w:tcW w:w="1728" w:type="dxa"/>
          </w:tcPr>
          <w:p w14:paraId="53B48C2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墙体保温系统</w:t>
            </w:r>
            <w:proofErr w:type="spellEnd"/>
          </w:p>
        </w:tc>
        <w:tc>
          <w:tcPr>
            <w:tcW w:w="1728" w:type="dxa"/>
          </w:tcPr>
          <w:p w14:paraId="5071404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50</w:t>
            </w:r>
          </w:p>
        </w:tc>
        <w:tc>
          <w:tcPr>
            <w:tcW w:w="1728" w:type="dxa"/>
          </w:tcPr>
          <w:p w14:paraId="23BCDA8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87.7</w:t>
            </w:r>
          </w:p>
        </w:tc>
        <w:tc>
          <w:tcPr>
            <w:tcW w:w="1728" w:type="dxa"/>
          </w:tcPr>
          <w:p w14:paraId="1F1795D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2.0</w:t>
            </w:r>
          </w:p>
        </w:tc>
        <w:tc>
          <w:tcPr>
            <w:tcW w:w="1728" w:type="dxa"/>
          </w:tcPr>
          <w:p w14:paraId="66DBAF5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43.9</w:t>
            </w:r>
          </w:p>
        </w:tc>
      </w:tr>
      <w:tr w:rsidR="00BE7A22" w:rsidRPr="00B840E5" w14:paraId="1932E44A" w14:textId="77777777">
        <w:trPr>
          <w:jc w:val="center"/>
        </w:trPr>
        <w:tc>
          <w:tcPr>
            <w:tcW w:w="1728" w:type="dxa"/>
          </w:tcPr>
          <w:p w14:paraId="7BE4DEE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智能百叶窗系统</w:t>
            </w:r>
            <w:proofErr w:type="spellEnd"/>
          </w:p>
        </w:tc>
        <w:tc>
          <w:tcPr>
            <w:tcW w:w="1728" w:type="dxa"/>
          </w:tcPr>
          <w:p w14:paraId="1647264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150</w:t>
            </w:r>
          </w:p>
        </w:tc>
        <w:tc>
          <w:tcPr>
            <w:tcW w:w="1728" w:type="dxa"/>
          </w:tcPr>
          <w:p w14:paraId="4293F850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263.2</w:t>
            </w:r>
          </w:p>
        </w:tc>
        <w:tc>
          <w:tcPr>
            <w:tcW w:w="1728" w:type="dxa"/>
          </w:tcPr>
          <w:p w14:paraId="41A9E756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1.4</w:t>
            </w:r>
          </w:p>
        </w:tc>
        <w:tc>
          <w:tcPr>
            <w:tcW w:w="1728" w:type="dxa"/>
          </w:tcPr>
          <w:p w14:paraId="2E1C92A7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188.0</w:t>
            </w:r>
          </w:p>
        </w:tc>
      </w:tr>
      <w:tr w:rsidR="00BE7A22" w:rsidRPr="00B840E5" w14:paraId="746E8BE1" w14:textId="77777777">
        <w:trPr>
          <w:jc w:val="center"/>
        </w:trPr>
        <w:tc>
          <w:tcPr>
            <w:tcW w:w="1728" w:type="dxa"/>
          </w:tcPr>
          <w:p w14:paraId="506CB9A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曲面屋顶系统</w:t>
            </w:r>
            <w:proofErr w:type="spellEnd"/>
          </w:p>
        </w:tc>
        <w:tc>
          <w:tcPr>
            <w:tcW w:w="1728" w:type="dxa"/>
          </w:tcPr>
          <w:p w14:paraId="761A520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120</w:t>
            </w:r>
          </w:p>
        </w:tc>
        <w:tc>
          <w:tcPr>
            <w:tcW w:w="1728" w:type="dxa"/>
          </w:tcPr>
          <w:p w14:paraId="6AC95F4F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210.6</w:t>
            </w:r>
          </w:p>
        </w:tc>
        <w:tc>
          <w:tcPr>
            <w:tcW w:w="1728" w:type="dxa"/>
          </w:tcPr>
          <w:p w14:paraId="4A5A3D47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1.6</w:t>
            </w:r>
          </w:p>
        </w:tc>
        <w:tc>
          <w:tcPr>
            <w:tcW w:w="1728" w:type="dxa"/>
          </w:tcPr>
          <w:p w14:paraId="02EDB61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131.6</w:t>
            </w:r>
          </w:p>
        </w:tc>
      </w:tr>
      <w:tr w:rsidR="00BE7A22" w:rsidRPr="00B840E5" w14:paraId="0A5A434A" w14:textId="77777777">
        <w:trPr>
          <w:jc w:val="center"/>
        </w:trPr>
        <w:tc>
          <w:tcPr>
            <w:tcW w:w="1728" w:type="dxa"/>
          </w:tcPr>
          <w:p w14:paraId="4FF9318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屋顶绿化系统</w:t>
            </w:r>
            <w:proofErr w:type="spellEnd"/>
          </w:p>
        </w:tc>
        <w:tc>
          <w:tcPr>
            <w:tcW w:w="1728" w:type="dxa"/>
          </w:tcPr>
          <w:p w14:paraId="25EEAD8A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100</w:t>
            </w:r>
          </w:p>
        </w:tc>
        <w:tc>
          <w:tcPr>
            <w:tcW w:w="1728" w:type="dxa"/>
          </w:tcPr>
          <w:p w14:paraId="50844D44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175.5</w:t>
            </w:r>
          </w:p>
        </w:tc>
        <w:tc>
          <w:tcPr>
            <w:tcW w:w="1728" w:type="dxa"/>
          </w:tcPr>
          <w:p w14:paraId="7E950423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0.96</w:t>
            </w:r>
          </w:p>
        </w:tc>
        <w:tc>
          <w:tcPr>
            <w:tcW w:w="1728" w:type="dxa"/>
          </w:tcPr>
          <w:p w14:paraId="35CCBC22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182.8</w:t>
            </w:r>
          </w:p>
        </w:tc>
      </w:tr>
      <w:tr w:rsidR="00BE7A22" w:rsidRPr="00B840E5" w14:paraId="0E25D568" w14:textId="77777777">
        <w:trPr>
          <w:jc w:val="center"/>
        </w:trPr>
        <w:tc>
          <w:tcPr>
            <w:tcW w:w="1728" w:type="dxa"/>
          </w:tcPr>
          <w:p w14:paraId="43D426AE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proofErr w:type="spellStart"/>
            <w:r w:rsidRPr="00B840E5">
              <w:rPr>
                <w:sz w:val="21"/>
                <w:szCs w:val="21"/>
              </w:rPr>
              <w:t>合计</w:t>
            </w:r>
            <w:proofErr w:type="spellEnd"/>
          </w:p>
        </w:tc>
        <w:tc>
          <w:tcPr>
            <w:tcW w:w="1728" w:type="dxa"/>
          </w:tcPr>
          <w:p w14:paraId="3CDCAEE9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500</w:t>
            </w:r>
          </w:p>
        </w:tc>
        <w:tc>
          <w:tcPr>
            <w:tcW w:w="1728" w:type="dxa"/>
          </w:tcPr>
          <w:p w14:paraId="792F0858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877.4</w:t>
            </w:r>
          </w:p>
        </w:tc>
        <w:tc>
          <w:tcPr>
            <w:tcW w:w="1728" w:type="dxa"/>
          </w:tcPr>
          <w:p w14:paraId="1C6000CC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11.66</w:t>
            </w:r>
          </w:p>
        </w:tc>
        <w:tc>
          <w:tcPr>
            <w:tcW w:w="1728" w:type="dxa"/>
          </w:tcPr>
          <w:p w14:paraId="2A0B4A15" w14:textId="77777777" w:rsidR="00BE7A22" w:rsidRPr="00B840E5" w:rsidRDefault="00000000">
            <w:pPr>
              <w:spacing w:after="0" w:line="240" w:lineRule="auto"/>
              <w:jc w:val="center"/>
              <w:rPr>
                <w:rFonts w:hint="eastAsia"/>
                <w:sz w:val="21"/>
                <w:szCs w:val="21"/>
              </w:rPr>
            </w:pPr>
            <w:r w:rsidRPr="00B840E5">
              <w:rPr>
                <w:sz w:val="21"/>
                <w:szCs w:val="21"/>
              </w:rPr>
              <w:t>75.2</w:t>
            </w:r>
          </w:p>
        </w:tc>
      </w:tr>
    </w:tbl>
    <w:p w14:paraId="5C78BF16" w14:textId="77777777" w:rsidR="00BE7A22" w:rsidRPr="00B840E5" w:rsidRDefault="00BE7A22">
      <w:pPr>
        <w:rPr>
          <w:rFonts w:hint="eastAsia"/>
          <w:sz w:val="21"/>
          <w:szCs w:val="21"/>
        </w:rPr>
      </w:pPr>
    </w:p>
    <w:p w14:paraId="1F4793B3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经济分析表明，五项绿色技术的总增量成本为500元/㎡，总增量成本877.4万元，年收益11.66万元，投资回收期约75.2年。虽然投资回收期较长，但考虑到绿色建筑的环境效益、社会效益以及政府相关补贴政策，项目具有良好的综合效益。</w:t>
      </w:r>
    </w:p>
    <w:p w14:paraId="17F9F24D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3.3 政策符合性验证</w:t>
      </w:r>
    </w:p>
    <w:p w14:paraId="6AD13742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项目各项技术指标均满足《绿色建筑评价标准》GB/T 50378-2019要求，可评定为二星级绿色建筑：</w:t>
      </w:r>
    </w:p>
    <w:p w14:paraId="7741BD29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节水率：采用雨水回收和中水回用系统，节水率达到10%以上，满足标准要求。</w:t>
      </w:r>
    </w:p>
    <w:p w14:paraId="3002B42C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节能率：通过五项绿色技术的综合应用，建筑节能率达到65%以上，超过标准要求的60%。</w:t>
      </w:r>
    </w:p>
    <w:p w14:paraId="72C6D393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绿化覆盖率：屋顶绿化面积2253㎡，占屋面面积30%，满足标准要求的绿化覆盖率指标。</w:t>
      </w:r>
    </w:p>
    <w:p w14:paraId="50AF9534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④ 室内环境质量：通过智能百叶窗和曲面屋顶的优化设计，室内光环境、热环境均满足标准要求。</w:t>
      </w:r>
    </w:p>
    <w:p w14:paraId="7AFBCDD2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⑤ 可再生能源利用：虽然本项目未直接采用可再生能源发电，但通过被动式节能技术的应用，间接减少了化石能源的消耗，符合绿色建筑的发展理念。</w:t>
      </w:r>
    </w:p>
    <w:p w14:paraId="2913DAA4" w14:textId="77777777" w:rsidR="00BE7A22" w:rsidRPr="00B840E5" w:rsidRDefault="00000000">
      <w:pPr>
        <w:pStyle w:val="Heading1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四、结论与建议</w:t>
      </w:r>
    </w:p>
    <w:p w14:paraId="79B78809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lastRenderedPageBreak/>
        <w:t>4.1 结论</w:t>
      </w:r>
    </w:p>
    <w:p w14:paraId="10EAC5E5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通过BIM技术模型、节点大样、材料参数与</w:t>
      </w:r>
      <w:proofErr w:type="gramStart"/>
      <w:r w:rsidRPr="00B840E5">
        <w:rPr>
          <w:sz w:val="21"/>
          <w:szCs w:val="21"/>
          <w:lang w:eastAsia="zh-CN"/>
        </w:rPr>
        <w:t>多软件</w:t>
      </w:r>
      <w:proofErr w:type="gramEnd"/>
      <w:r w:rsidRPr="00B840E5">
        <w:rPr>
          <w:sz w:val="21"/>
          <w:szCs w:val="21"/>
          <w:lang w:eastAsia="zh-CN"/>
        </w:rPr>
        <w:t>仿真（</w:t>
      </w:r>
      <w:proofErr w:type="spellStart"/>
      <w:r w:rsidRPr="00B840E5">
        <w:rPr>
          <w:sz w:val="21"/>
          <w:szCs w:val="21"/>
          <w:lang w:eastAsia="zh-CN"/>
        </w:rPr>
        <w:t>DeST</w:t>
      </w:r>
      <w:proofErr w:type="spellEnd"/>
      <w:r w:rsidRPr="00B840E5">
        <w:rPr>
          <w:sz w:val="21"/>
          <w:szCs w:val="21"/>
          <w:lang w:eastAsia="zh-CN"/>
        </w:rPr>
        <w:t>、</w:t>
      </w:r>
      <w:proofErr w:type="spellStart"/>
      <w:r w:rsidRPr="00B840E5">
        <w:rPr>
          <w:sz w:val="21"/>
          <w:szCs w:val="21"/>
          <w:lang w:eastAsia="zh-CN"/>
        </w:rPr>
        <w:t>Dialux</w:t>
      </w:r>
      <w:proofErr w:type="spellEnd"/>
      <w:r w:rsidRPr="00B840E5">
        <w:rPr>
          <w:sz w:val="21"/>
          <w:szCs w:val="21"/>
          <w:lang w:eastAsia="zh-CN"/>
        </w:rPr>
        <w:t>、MIDAS、ENVI-met），全面验证了五项绿色技术在西安小学的应用逻辑：</w:t>
      </w:r>
    </w:p>
    <w:p w14:paraId="19B6A92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技术上协同优化气候适应性：五项技术相互协同，充分利用西安地区的气候特点，实现了建筑的被动式节能，技术方案科学合理。</w:t>
      </w:r>
    </w:p>
    <w:p w14:paraId="0F83F12C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经济上合理可控：虽然初始投资较大，但考虑到长期的节能效益和环境效益，以及政府相关政策支持，项目具有良好的经济可行性。</w:t>
      </w:r>
    </w:p>
    <w:p w14:paraId="53C7DAB5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政策上符合绿色建筑要求：项目各项指标均满足《绿色建筑评价标准》要求，可评定为二星级绿色建筑，符合国家绿色建筑发展政策。</w:t>
      </w:r>
    </w:p>
    <w:p w14:paraId="351E34A9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④ 实施上具备落地条件：各项技术均为成熟技术，施工工艺规范，材料供应充足，具备良好的实施条件。</w:t>
      </w:r>
    </w:p>
    <w:p w14:paraId="62D7083E" w14:textId="77777777" w:rsidR="00BE7A22" w:rsidRPr="00B840E5" w:rsidRDefault="00000000">
      <w:pPr>
        <w:pStyle w:val="Heading2Custom"/>
        <w:rPr>
          <w:rFonts w:ascii="宋体" w:eastAsia="宋体" w:hAnsi="宋体" w:hint="eastAsia"/>
          <w:sz w:val="21"/>
          <w:szCs w:val="21"/>
          <w:lang w:eastAsia="zh-CN"/>
        </w:rPr>
      </w:pPr>
      <w:r w:rsidRPr="00B840E5">
        <w:rPr>
          <w:rFonts w:ascii="宋体" w:eastAsia="宋体" w:hAnsi="宋体"/>
          <w:sz w:val="21"/>
          <w:szCs w:val="21"/>
          <w:lang w:eastAsia="zh-CN"/>
        </w:rPr>
        <w:t>4.2 建议</w:t>
      </w:r>
    </w:p>
    <w:p w14:paraId="6E640BFC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① 设计优化建议：</w:t>
      </w:r>
    </w:p>
    <w:p w14:paraId="0F2CBE1B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进一步优化曲面屋顶的波浪参数，提高雨水收集效率和采光效果。</w:t>
      </w:r>
    </w:p>
    <w:p w14:paraId="4285D984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加强智能控制系统的集成设计，实现五项技术的联动控制。</w:t>
      </w:r>
    </w:p>
    <w:p w14:paraId="23F67047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优化植物配置方案，选择更适合西安气候的本地植物品种。</w:t>
      </w:r>
    </w:p>
    <w:p w14:paraId="403E06AB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② 施工管理建议：</w:t>
      </w:r>
    </w:p>
    <w:p w14:paraId="2692B4C6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选择具有绿色建筑施工经验的施工队伍，确保施工质量。</w:t>
      </w:r>
    </w:p>
    <w:p w14:paraId="652DE3EC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加强施工现场的质量控制，特别是防水、保温等关键节点的施工质量。</w:t>
      </w:r>
    </w:p>
    <w:p w14:paraId="2C8DC654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做好各专业之间的协调配合，确保系统的集成效果。</w:t>
      </w:r>
    </w:p>
    <w:p w14:paraId="55FE4614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③ 运</w:t>
      </w:r>
      <w:proofErr w:type="gramStart"/>
      <w:r w:rsidRPr="00B840E5">
        <w:rPr>
          <w:sz w:val="21"/>
          <w:szCs w:val="21"/>
          <w:lang w:eastAsia="zh-CN"/>
        </w:rPr>
        <w:t>维管理</w:t>
      </w:r>
      <w:proofErr w:type="gramEnd"/>
      <w:r w:rsidRPr="00B840E5">
        <w:rPr>
          <w:sz w:val="21"/>
          <w:szCs w:val="21"/>
          <w:lang w:eastAsia="zh-CN"/>
        </w:rPr>
        <w:t>建议：</w:t>
      </w:r>
    </w:p>
    <w:p w14:paraId="16D344A3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建立完善的绿色技术运</w:t>
      </w:r>
      <w:proofErr w:type="gramStart"/>
      <w:r w:rsidRPr="00B840E5">
        <w:rPr>
          <w:sz w:val="21"/>
          <w:szCs w:val="21"/>
          <w:lang w:eastAsia="zh-CN"/>
        </w:rPr>
        <w:t>维管理</w:t>
      </w:r>
      <w:proofErr w:type="gramEnd"/>
      <w:r w:rsidRPr="00B840E5">
        <w:rPr>
          <w:sz w:val="21"/>
          <w:szCs w:val="21"/>
          <w:lang w:eastAsia="zh-CN"/>
        </w:rPr>
        <w:t>制度，定期进行系统检测和维护。</w:t>
      </w:r>
    </w:p>
    <w:p w14:paraId="41FCCCC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加强对师生的绿色建筑知识宣传教育，提高节能意识。</w:t>
      </w:r>
    </w:p>
    <w:p w14:paraId="1A47A9AF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建立能耗监测系统，实时监控建筑能耗情况，及时调整运行策略。</w:t>
      </w:r>
    </w:p>
    <w:p w14:paraId="4A45607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④ 推广建议：</w:t>
      </w:r>
    </w:p>
    <w:p w14:paraId="62917590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总结项目经验，为其他学校绿色建筑建设提供参考。</w:t>
      </w:r>
    </w:p>
    <w:p w14:paraId="0157FD18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• 加强绿色建筑技术的宣传推广，提高社会认知度。</w:t>
      </w:r>
    </w:p>
    <w:p w14:paraId="279524C9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lastRenderedPageBreak/>
        <w:t>• 争取政府相关政策支持，推动绿色建筑的普及应用。</w:t>
      </w:r>
    </w:p>
    <w:p w14:paraId="1FB10D29" w14:textId="77777777" w:rsidR="00BE7A22" w:rsidRPr="00B840E5" w:rsidRDefault="00000000">
      <w:pPr>
        <w:rPr>
          <w:rFonts w:hint="eastAsia"/>
          <w:sz w:val="21"/>
          <w:szCs w:val="21"/>
          <w:lang w:eastAsia="zh-CN"/>
        </w:rPr>
      </w:pPr>
      <w:r w:rsidRPr="00B840E5">
        <w:rPr>
          <w:sz w:val="21"/>
          <w:szCs w:val="21"/>
          <w:lang w:eastAsia="zh-CN"/>
        </w:rPr>
        <w:t>综上所述，本项目五项绿色技术应用方案技术可行、经济合理、环境效益显著，具有良好的实施前景和推广价值。通过科学的设计、规范的施工和有效的管理，能够实现预期的绿色建筑目标，为师生创造健康舒适的学习生活环境，为推动我国绿色建筑事业的发展做出积极贡献。</w:t>
      </w:r>
    </w:p>
    <w:sectPr w:rsidR="00BE7A22" w:rsidRPr="00B840E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726C" w14:textId="77777777" w:rsidR="00B06E33" w:rsidRDefault="00B06E33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25CF5579" w14:textId="77777777" w:rsidR="00B06E33" w:rsidRDefault="00B06E33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FF8CA" w14:textId="77777777" w:rsidR="00B06E33" w:rsidRDefault="00B06E33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46D386A" w14:textId="77777777" w:rsidR="00B06E33" w:rsidRDefault="00B06E33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 w16cid:durableId="93593951">
    <w:abstractNumId w:val="1"/>
  </w:num>
  <w:num w:numId="2" w16cid:durableId="205873908">
    <w:abstractNumId w:val="4"/>
  </w:num>
  <w:num w:numId="3" w16cid:durableId="1201354267">
    <w:abstractNumId w:val="5"/>
  </w:num>
  <w:num w:numId="4" w16cid:durableId="434063286">
    <w:abstractNumId w:val="2"/>
  </w:num>
  <w:num w:numId="5" w16cid:durableId="530530341">
    <w:abstractNumId w:val="0"/>
  </w:num>
  <w:num w:numId="6" w16cid:durableId="8694930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83F0D"/>
    <w:rsid w:val="0015074B"/>
    <w:rsid w:val="0029639D"/>
    <w:rsid w:val="00326F90"/>
    <w:rsid w:val="00AA1D8D"/>
    <w:rsid w:val="00B06E33"/>
    <w:rsid w:val="00B47730"/>
    <w:rsid w:val="00B840E5"/>
    <w:rsid w:val="00BE7A22"/>
    <w:rsid w:val="00CB0664"/>
    <w:rsid w:val="00FC693F"/>
    <w:rsid w:val="5130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1F4BD5"/>
  <w14:defaultImageDpi w14:val="300"/>
  <w15:docId w15:val="{1E5A59B9-69FA-4A4D-A9B6-E970FC47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/>
    <w:lsdException w:name="toa heading" w:semiHidden="1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unhideWhenUsed="1"/>
    <w:lsdException w:name="List Continue 2" w:unhideWhenUsed="1"/>
    <w:lsdException w:name="List Continue 3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/>
    <w:lsdException w:name="Body Text 3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 w:qFormat="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200" w:line="276" w:lineRule="auto"/>
      <w:ind w:firstLine="480"/>
    </w:pPr>
    <w:rPr>
      <w:rFonts w:ascii="宋体" w:eastAsia="宋体" w:hAnsi="宋体"/>
      <w:sz w:val="24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uiPriority w:val="99"/>
    <w:unhideWhenUsed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eastAsia="en-US"/>
    </w:rPr>
  </w:style>
  <w:style w:type="paragraph" w:styleId="33">
    <w:name w:val="List 3"/>
    <w:basedOn w:val="a1"/>
    <w:uiPriority w:val="99"/>
    <w:unhideWhenUsed/>
    <w:pPr>
      <w:ind w:left="1080" w:hanging="360"/>
      <w:contextualSpacing/>
    </w:pPr>
  </w:style>
  <w:style w:type="paragraph" w:styleId="2">
    <w:name w:val="List Number 2"/>
    <w:basedOn w:val="a1"/>
    <w:uiPriority w:val="99"/>
    <w:unhideWhenUsed/>
    <w:pPr>
      <w:numPr>
        <w:numId w:val="1"/>
      </w:numPr>
      <w:contextualSpacing/>
    </w:pPr>
  </w:style>
  <w:style w:type="paragraph" w:styleId="a">
    <w:name w:val="List Number"/>
    <w:basedOn w:val="a1"/>
    <w:uiPriority w:val="99"/>
    <w:unhideWhenUsed/>
    <w:pPr>
      <w:numPr>
        <w:numId w:val="2"/>
      </w:numPr>
      <w:contextualSpacing/>
    </w:pPr>
  </w:style>
  <w:style w:type="paragraph" w:styleId="a7">
    <w:name w:val="caption"/>
    <w:basedOn w:val="a1"/>
    <w:next w:val="a1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0">
    <w:name w:val="List Bullet"/>
    <w:basedOn w:val="a1"/>
    <w:uiPriority w:val="99"/>
    <w:unhideWhenUsed/>
    <w:pPr>
      <w:numPr>
        <w:numId w:val="3"/>
      </w:numPr>
      <w:contextualSpacing/>
    </w:pPr>
  </w:style>
  <w:style w:type="paragraph" w:styleId="34">
    <w:name w:val="Body Text 3"/>
    <w:basedOn w:val="a1"/>
    <w:link w:val="35"/>
    <w:uiPriority w:val="99"/>
    <w:unhideWhenUsed/>
    <w:pPr>
      <w:spacing w:after="120"/>
    </w:pPr>
    <w:rPr>
      <w:sz w:val="16"/>
      <w:szCs w:val="16"/>
    </w:rPr>
  </w:style>
  <w:style w:type="paragraph" w:styleId="30">
    <w:name w:val="List Bullet 3"/>
    <w:basedOn w:val="a1"/>
    <w:uiPriority w:val="99"/>
    <w:unhideWhenUsed/>
    <w:pPr>
      <w:numPr>
        <w:numId w:val="4"/>
      </w:numPr>
      <w:contextualSpacing/>
    </w:pPr>
  </w:style>
  <w:style w:type="paragraph" w:styleId="a8">
    <w:name w:val="Body Text"/>
    <w:basedOn w:val="a1"/>
    <w:link w:val="a9"/>
    <w:uiPriority w:val="99"/>
    <w:unhideWhenUsed/>
    <w:pPr>
      <w:spacing w:after="120"/>
    </w:pPr>
  </w:style>
  <w:style w:type="paragraph" w:styleId="3">
    <w:name w:val="List Number 3"/>
    <w:basedOn w:val="a1"/>
    <w:uiPriority w:val="99"/>
    <w:unhideWhenUsed/>
    <w:pPr>
      <w:numPr>
        <w:numId w:val="5"/>
      </w:numPr>
      <w:contextualSpacing/>
    </w:pPr>
  </w:style>
  <w:style w:type="paragraph" w:styleId="23">
    <w:name w:val="List 2"/>
    <w:basedOn w:val="a1"/>
    <w:uiPriority w:val="99"/>
    <w:unhideWhenUsed/>
    <w:pPr>
      <w:ind w:left="720" w:hanging="360"/>
      <w:contextualSpacing/>
    </w:pPr>
  </w:style>
  <w:style w:type="paragraph" w:styleId="aa">
    <w:name w:val="List Continue"/>
    <w:basedOn w:val="a1"/>
    <w:uiPriority w:val="99"/>
    <w:unhideWhenUsed/>
    <w:pPr>
      <w:spacing w:after="120"/>
      <w:ind w:left="360"/>
      <w:contextualSpacing/>
    </w:pPr>
  </w:style>
  <w:style w:type="paragraph" w:styleId="20">
    <w:name w:val="List Bullet 2"/>
    <w:basedOn w:val="a1"/>
    <w:uiPriority w:val="99"/>
    <w:unhideWhenUsed/>
    <w:pPr>
      <w:numPr>
        <w:numId w:val="6"/>
      </w:numPr>
      <w:contextualSpacing/>
    </w:pPr>
  </w:style>
  <w:style w:type="paragraph" w:styleId="ab">
    <w:name w:val="footer"/>
    <w:basedOn w:val="a1"/>
    <w:link w:val="ac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d">
    <w:name w:val="header"/>
    <w:basedOn w:val="a1"/>
    <w:link w:val="a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f">
    <w:name w:val="Subtitle"/>
    <w:basedOn w:val="a1"/>
    <w:next w:val="a1"/>
    <w:link w:val="af0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paragraph" w:styleId="af1">
    <w:name w:val="List"/>
    <w:basedOn w:val="a1"/>
    <w:uiPriority w:val="99"/>
    <w:unhideWhenUsed/>
    <w:pPr>
      <w:ind w:left="360" w:hanging="360"/>
      <w:contextualSpacing/>
    </w:pPr>
  </w:style>
  <w:style w:type="paragraph" w:styleId="24">
    <w:name w:val="Body Text 2"/>
    <w:basedOn w:val="a1"/>
    <w:link w:val="25"/>
    <w:uiPriority w:val="99"/>
    <w:unhideWhenUsed/>
    <w:pPr>
      <w:spacing w:after="120" w:line="480" w:lineRule="auto"/>
    </w:pPr>
  </w:style>
  <w:style w:type="paragraph" w:styleId="26">
    <w:name w:val="List Continue 2"/>
    <w:basedOn w:val="a1"/>
    <w:uiPriority w:val="99"/>
    <w:unhideWhenUsed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pPr>
      <w:spacing w:after="120"/>
      <w:ind w:left="1080"/>
      <w:contextualSpacing/>
    </w:pPr>
  </w:style>
  <w:style w:type="paragraph" w:styleId="af2">
    <w:name w:val="Title"/>
    <w:basedOn w:val="a1"/>
    <w:next w:val="a1"/>
    <w:link w:val="af3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4">
    <w:name w:val="Table Grid"/>
    <w:basedOn w:val="a3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Light Shading"/>
    <w:basedOn w:val="a3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6">
    <w:name w:val="Light List"/>
    <w:basedOn w:val="a3"/>
    <w:uiPriority w:val="61"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7">
    <w:name w:val="Light Grid"/>
    <w:basedOn w:val="a3"/>
    <w:uiPriority w:val="62"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uiPriority w:val="62"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11">
    <w:name w:val="Medium Shading 1"/>
    <w:basedOn w:val="a3"/>
    <w:uiPriority w:val="63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f8">
    <w:name w:val="Dark List"/>
    <w:basedOn w:val="a3"/>
    <w:uiPriority w:val="70"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9">
    <w:name w:val="Colorful Shading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a">
    <w:name w:val="Colorful List"/>
    <w:basedOn w:val="a3"/>
    <w:uiPriority w:val="72"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b">
    <w:name w:val="Colorful Grid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c">
    <w:name w:val="Strong"/>
    <w:basedOn w:val="a2"/>
    <w:uiPriority w:val="22"/>
    <w:qFormat/>
    <w:rPr>
      <w:b/>
      <w:bCs/>
    </w:rPr>
  </w:style>
  <w:style w:type="character" w:styleId="afd">
    <w:name w:val="Emphasis"/>
    <w:basedOn w:val="a2"/>
    <w:uiPriority w:val="20"/>
    <w:qFormat/>
    <w:rPr>
      <w:i/>
      <w:iCs/>
    </w:rPr>
  </w:style>
  <w:style w:type="character" w:customStyle="1" w:styleId="ae">
    <w:name w:val="页眉 字符"/>
    <w:basedOn w:val="a2"/>
    <w:link w:val="ad"/>
    <w:uiPriority w:val="99"/>
  </w:style>
  <w:style w:type="character" w:customStyle="1" w:styleId="ac">
    <w:name w:val="页脚 字符"/>
    <w:basedOn w:val="a2"/>
    <w:link w:val="ab"/>
    <w:uiPriority w:val="99"/>
  </w:style>
  <w:style w:type="paragraph" w:styleId="afe">
    <w:name w:val="No Spacing"/>
    <w:uiPriority w:val="1"/>
    <w:qFormat/>
    <w:rPr>
      <w:sz w:val="22"/>
      <w:szCs w:val="22"/>
      <w:lang w:eastAsia="en-US"/>
    </w:rPr>
  </w:style>
  <w:style w:type="character" w:customStyle="1" w:styleId="10">
    <w:name w:val="标题 1 字符"/>
    <w:basedOn w:val="a2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3">
    <w:name w:val="标题 字符"/>
    <w:basedOn w:val="a2"/>
    <w:link w:val="af2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副标题 字符"/>
    <w:basedOn w:val="a2"/>
    <w:link w:val="af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">
    <w:name w:val="List Paragraph"/>
    <w:basedOn w:val="a1"/>
    <w:uiPriority w:val="34"/>
    <w:qFormat/>
    <w:pPr>
      <w:ind w:left="720"/>
      <w:contextualSpacing/>
    </w:pPr>
  </w:style>
  <w:style w:type="character" w:customStyle="1" w:styleId="a9">
    <w:name w:val="正文文本 字符"/>
    <w:basedOn w:val="a2"/>
    <w:link w:val="a8"/>
    <w:uiPriority w:val="99"/>
  </w:style>
  <w:style w:type="character" w:customStyle="1" w:styleId="25">
    <w:name w:val="正文文本 2 字符"/>
    <w:basedOn w:val="a2"/>
    <w:link w:val="24"/>
    <w:uiPriority w:val="99"/>
  </w:style>
  <w:style w:type="character" w:customStyle="1" w:styleId="35">
    <w:name w:val="正文文本 3 字符"/>
    <w:basedOn w:val="a2"/>
    <w:link w:val="34"/>
    <w:uiPriority w:val="99"/>
    <w:rPr>
      <w:sz w:val="16"/>
      <w:szCs w:val="16"/>
    </w:rPr>
  </w:style>
  <w:style w:type="character" w:customStyle="1" w:styleId="a6">
    <w:name w:val="宏文本 字符"/>
    <w:basedOn w:val="a2"/>
    <w:link w:val="a5"/>
    <w:uiPriority w:val="99"/>
    <w:rPr>
      <w:rFonts w:ascii="Courier" w:hAnsi="Courier"/>
      <w:sz w:val="20"/>
      <w:szCs w:val="20"/>
    </w:rPr>
  </w:style>
  <w:style w:type="paragraph" w:styleId="aff0">
    <w:name w:val="Quote"/>
    <w:basedOn w:val="a1"/>
    <w:next w:val="a1"/>
    <w:link w:val="aff1"/>
    <w:uiPriority w:val="29"/>
    <w:qFormat/>
    <w:rPr>
      <w:i/>
      <w:iCs/>
      <w:color w:val="000000" w:themeColor="text1"/>
    </w:rPr>
  </w:style>
  <w:style w:type="character" w:customStyle="1" w:styleId="aff1">
    <w:name w:val="引用 字符"/>
    <w:basedOn w:val="a2"/>
    <w:link w:val="aff0"/>
    <w:uiPriority w:val="29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标题 6 字符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标题 7 字符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2">
    <w:name w:val="Intense Quote"/>
    <w:basedOn w:val="a1"/>
    <w:next w:val="a1"/>
    <w:link w:val="aff3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3">
    <w:name w:val="明显引用 字符"/>
    <w:basedOn w:val="a2"/>
    <w:link w:val="aff2"/>
    <w:uiPriority w:val="30"/>
    <w:rPr>
      <w:b/>
      <w:bCs/>
      <w:i/>
      <w:iCs/>
      <w:color w:val="4F81BD" w:themeColor="accent1"/>
    </w:rPr>
  </w:style>
  <w:style w:type="character" w:customStyle="1" w:styleId="14">
    <w:name w:val="不明显强调1"/>
    <w:basedOn w:val="a2"/>
    <w:uiPriority w:val="19"/>
    <w:qFormat/>
    <w:rPr>
      <w:i/>
      <w:iCs/>
      <w:color w:val="7F7F7F" w:themeColor="text1" w:themeTint="80"/>
    </w:rPr>
  </w:style>
  <w:style w:type="character" w:customStyle="1" w:styleId="15">
    <w:name w:val="明显强调1"/>
    <w:basedOn w:val="a2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参考1"/>
    <w:basedOn w:val="a2"/>
    <w:uiPriority w:val="31"/>
    <w:qFormat/>
    <w:rPr>
      <w:smallCaps/>
      <w:color w:val="C0504D" w:themeColor="accent2"/>
      <w:u w:val="single"/>
    </w:rPr>
  </w:style>
  <w:style w:type="character" w:customStyle="1" w:styleId="17">
    <w:name w:val="明显参考1"/>
    <w:basedOn w:val="a2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8">
    <w:name w:val="书籍标题1"/>
    <w:basedOn w:val="a2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paragraph" w:customStyle="1" w:styleId="MainTitle">
    <w:name w:val="Main Title"/>
    <w:pPr>
      <w:spacing w:after="480" w:line="276" w:lineRule="auto"/>
      <w:jc w:val="center"/>
    </w:pPr>
    <w:rPr>
      <w:rFonts w:ascii="黑体" w:eastAsia="黑体" w:hAnsi="黑体"/>
      <w:b/>
      <w:sz w:val="40"/>
      <w:szCs w:val="22"/>
      <w:lang w:eastAsia="en-US"/>
    </w:rPr>
  </w:style>
  <w:style w:type="paragraph" w:customStyle="1" w:styleId="Heading1Custom">
    <w:name w:val="Heading 1 Custom"/>
    <w:pPr>
      <w:spacing w:before="360" w:after="240" w:line="276" w:lineRule="auto"/>
    </w:pPr>
    <w:rPr>
      <w:rFonts w:ascii="黑体" w:eastAsia="黑体" w:hAnsi="黑体"/>
      <w:b/>
      <w:sz w:val="32"/>
      <w:szCs w:val="22"/>
      <w:lang w:eastAsia="en-US"/>
    </w:rPr>
  </w:style>
  <w:style w:type="paragraph" w:customStyle="1" w:styleId="Heading2Custom">
    <w:name w:val="Heading 2 Custom"/>
    <w:pPr>
      <w:spacing w:before="240" w:after="120" w:line="276" w:lineRule="auto"/>
    </w:pPr>
    <w:rPr>
      <w:rFonts w:ascii="黑体" w:eastAsia="黑体" w:hAnsi="黑体"/>
      <w:b/>
      <w:sz w:val="28"/>
      <w:szCs w:val="22"/>
      <w:lang w:eastAsia="en-US"/>
    </w:rPr>
  </w:style>
  <w:style w:type="paragraph" w:customStyle="1" w:styleId="Heading3Custom">
    <w:name w:val="Heading 3 Custom"/>
    <w:pPr>
      <w:spacing w:before="160" w:after="80" w:line="276" w:lineRule="auto"/>
    </w:pPr>
    <w:rPr>
      <w:rFonts w:ascii="黑体" w:eastAsia="黑体" w:hAnsi="黑体"/>
      <w:b/>
      <w:sz w:val="24"/>
      <w:szCs w:val="22"/>
      <w:lang w:eastAsia="en-US"/>
    </w:rPr>
  </w:style>
  <w:style w:type="paragraph" w:customStyle="1" w:styleId="EmphasisText">
    <w:name w:val="Emphasis Text"/>
    <w:pPr>
      <w:spacing w:after="200" w:line="276" w:lineRule="auto"/>
      <w:ind w:firstLine="480"/>
    </w:pPr>
    <w:rPr>
      <w:rFonts w:ascii="宋体" w:eastAsia="宋体" w:hAnsi="宋体"/>
      <w:b/>
      <w:color w:val="003366"/>
      <w:sz w:val="24"/>
      <w:szCs w:val="22"/>
      <w:lang w:eastAsia="en-US"/>
    </w:rPr>
  </w:style>
  <w:style w:type="paragraph" w:customStyle="1" w:styleId="TechParameter">
    <w:name w:val="Tech Parameter"/>
    <w:pPr>
      <w:spacing w:after="200" w:line="276" w:lineRule="auto"/>
      <w:ind w:left="480"/>
    </w:pPr>
    <w:rPr>
      <w:rFonts w:ascii="宋体" w:eastAsia="宋体" w:hAnsi="宋体"/>
      <w:color w:val="666666"/>
      <w:sz w:val="22"/>
      <w:szCs w:val="22"/>
      <w:lang w:eastAsia="en-US"/>
    </w:rPr>
  </w:style>
  <w:style w:type="paragraph" w:customStyle="1" w:styleId="TableTitle">
    <w:name w:val="Table Title"/>
    <w:pPr>
      <w:spacing w:before="240" w:after="120" w:line="276" w:lineRule="auto"/>
      <w:jc w:val="center"/>
    </w:pPr>
    <w:rPr>
      <w:rFonts w:ascii="黑体" w:eastAsia="黑体" w:hAnsi="黑体"/>
      <w:b/>
      <w:sz w:val="24"/>
      <w:szCs w:val="22"/>
      <w:lang w:eastAsia="en-US"/>
    </w:rPr>
  </w:style>
  <w:style w:type="paragraph" w:customStyle="1" w:styleId="FigureCaption">
    <w:name w:val="Figure Caption"/>
    <w:pPr>
      <w:spacing w:before="120" w:after="240" w:line="276" w:lineRule="auto"/>
      <w:jc w:val="center"/>
    </w:pPr>
    <w:rPr>
      <w:rFonts w:ascii="宋体" w:eastAsia="宋体" w:hAnsi="宋体"/>
      <w:szCs w:val="22"/>
      <w:lang w:eastAsia="en-US"/>
    </w:rPr>
  </w:style>
  <w:style w:type="paragraph" w:customStyle="1" w:styleId="TOCStyle">
    <w:name w:val="TOC Style"/>
    <w:pPr>
      <w:spacing w:after="120" w:line="276" w:lineRule="auto"/>
    </w:pPr>
    <w:rPr>
      <w:rFonts w:ascii="宋体" w:eastAsia="宋体" w:hAnsi="宋体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3631</Words>
  <Characters>4358</Characters>
  <Application>Microsoft Office Word</Application>
  <DocSecurity>0</DocSecurity>
  <Lines>290</Lines>
  <Paragraphs>347</Paragraphs>
  <ScaleCrop>false</ScaleCrop>
  <Company/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3407841179@qq.com</cp:lastModifiedBy>
  <cp:revision>2</cp:revision>
  <dcterms:created xsi:type="dcterms:W3CDTF">2013-12-23T23:15:00Z</dcterms:created>
  <dcterms:modified xsi:type="dcterms:W3CDTF">2026-01-04T12:54:00Z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eyJoZGlkIjoiYmQxNGFkNWEwZDY2MDE5N2VkYzg5Y2Y3YzQ2ZmQ4NWYiLCJ1c2VySWQiOiI0NjQ5MDk0NzgifQ==</vt:lpwstr>
  </property>
  <property fmtid="{D5CDD505-2E9C-101B-9397-08002B2CF9AE}" pid="3" name="KSOProductBuildVer">
    <vt:lpwstr>2052-12.1.0.24034</vt:lpwstr>
  </property>
  <property fmtid="{D5CDD505-2E9C-101B-9397-08002B2CF9AE}" pid="4" name="ICV">
    <vt:lpwstr>52F99EEE1DC545A4A03E2201A9935C60_13</vt:lpwstr>
  </property>
</Properties>
</file>