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54EEE">
      <w:pPr>
        <w:pStyle w:val="46"/>
        <w:rPr>
          <w:rFonts w:hint="eastAsia"/>
        </w:rPr>
      </w:pPr>
      <w:bookmarkStart w:id="169" w:name="_GoBack"/>
      <w:bookmarkEnd w:id="169"/>
    </w:p>
    <w:p w14:paraId="1811CB93">
      <w:pPr>
        <w:pStyle w:val="46"/>
        <w:rPr>
          <w:rFonts w:hint="eastAsia"/>
        </w:rPr>
      </w:pPr>
    </w:p>
    <w:p w14:paraId="14A20FB5">
      <w:pPr>
        <w:pStyle w:val="46"/>
        <w:jc w:val="distribute"/>
        <w:rPr>
          <w:rFonts w:hint="eastAsia"/>
          <w:b/>
          <w:sz w:val="72"/>
          <w:szCs w:val="72"/>
        </w:rPr>
      </w:pPr>
      <w:r>
        <w:rPr>
          <w:rFonts w:hint="eastAsia"/>
          <w:b/>
          <w:sz w:val="72"/>
          <w:szCs w:val="72"/>
        </w:rPr>
        <w:t>室外风环境模拟分析报告</w:t>
      </w:r>
    </w:p>
    <w:p w14:paraId="61C29C8C">
      <w:pPr>
        <w:pStyle w:val="50"/>
        <w:spacing w:line="400" w:lineRule="exact"/>
        <w:rPr>
          <w:rFonts w:hint="eastAsia"/>
        </w:rPr>
      </w:pPr>
    </w:p>
    <w:p w14:paraId="7DC6AA0F">
      <w:pPr>
        <w:pStyle w:val="50"/>
        <w:rPr>
          <w:rFonts w:hint="eastAsia"/>
          <w:b/>
        </w:rPr>
      </w:pPr>
      <w:bookmarkStart w:id="0" w:name="项目名称"/>
    </w:p>
    <w:p w14:paraId="1722F26D">
      <w:pPr>
        <w:pStyle w:val="50"/>
        <w:rPr>
          <w:rFonts w:hint="eastAsia"/>
          <w:b/>
        </w:rPr>
      </w:pPr>
      <w:r>
        <w:rPr>
          <w:rFonts w:hint="eastAsia"/>
          <w:b/>
        </w:rPr>
        <w:t>设计编号：</w:t>
      </w:r>
      <w:bookmarkStart w:id="1" w:name="设计编号"/>
    </w:p>
    <w:p w14:paraId="508C03C3">
      <w:pPr>
        <w:pStyle w:val="50"/>
        <w:rPr>
          <w:rFonts w:hint="eastAsia"/>
          <w:b/>
        </w:rPr>
      </w:pPr>
    </w:p>
    <w:p w14:paraId="70E19658">
      <w:pPr>
        <w:pStyle w:val="46"/>
        <w:jc w:val="center"/>
        <w:rPr>
          <w:rFonts w:hint="eastAsia"/>
        </w:rPr>
      </w:pPr>
      <w:bookmarkStart w:id="2" w:name="二维码"/>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168A493D">
      <w:pPr>
        <w:pStyle w:val="46"/>
        <w:jc w:val="center"/>
        <w:rPr>
          <w:rFonts w:hint="eastAsia"/>
        </w:rPr>
      </w:pPr>
    </w:p>
    <w:p w14:paraId="1B9E7319">
      <w:pPr>
        <w:pStyle w:val="46"/>
        <w:jc w:val="center"/>
        <w:rPr>
          <w:rFonts w:hint="eastAsia"/>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67CA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9BC691">
            <w:pPr>
              <w:pStyle w:val="46"/>
              <w:spacing w:line="240" w:lineRule="auto"/>
              <w:jc w:val="distribute"/>
              <w:rPr>
                <w:rFonts w:hint="eastAsia"/>
              </w:rPr>
            </w:pPr>
            <w:r>
              <w:rPr>
                <w:rFonts w:hint="eastAsia"/>
              </w:rPr>
              <w:t>工程地点</w:t>
            </w:r>
          </w:p>
        </w:tc>
        <w:tc>
          <w:tcPr>
            <w:tcW w:w="475" w:type="dxa"/>
            <w:vAlign w:val="center"/>
          </w:tcPr>
          <w:p w14:paraId="358E01E2">
            <w:pPr>
              <w:pStyle w:val="46"/>
              <w:spacing w:line="240" w:lineRule="auto"/>
              <w:ind w:right="-31" w:rightChars="-15"/>
              <w:jc w:val="center"/>
              <w:rPr>
                <w:rFonts w:hint="eastAsia"/>
              </w:rPr>
            </w:pPr>
            <w:r>
              <w:rPr>
                <w:rFonts w:hint="eastAsia"/>
              </w:rPr>
              <w:t>：</w:t>
            </w:r>
          </w:p>
        </w:tc>
        <w:tc>
          <w:tcPr>
            <w:tcW w:w="4624" w:type="dxa"/>
            <w:tcBorders>
              <w:bottom w:val="single" w:color="auto" w:sz="4" w:space="0"/>
            </w:tcBorders>
            <w:vAlign w:val="center"/>
          </w:tcPr>
          <w:p w14:paraId="32CF1B22">
            <w:pPr>
              <w:pStyle w:val="46"/>
              <w:spacing w:line="240" w:lineRule="auto"/>
              <w:jc w:val="center"/>
              <w:rPr>
                <w:rFonts w:hint="eastAsia"/>
              </w:rPr>
            </w:pPr>
            <w:bookmarkStart w:id="3" w:name="工程地点"/>
            <w:bookmarkStart w:id="4" w:name="项目地点"/>
            <w:r>
              <w:t>银川</w:t>
            </w:r>
          </w:p>
        </w:tc>
      </w:tr>
      <w:tr w14:paraId="7AB89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429C2">
            <w:pPr>
              <w:pStyle w:val="46"/>
              <w:spacing w:line="240" w:lineRule="auto"/>
              <w:jc w:val="distribute"/>
              <w:rPr>
                <w:rFonts w:hint="eastAsia"/>
              </w:rPr>
            </w:pPr>
            <w:r>
              <w:rPr>
                <w:rFonts w:hint="eastAsia"/>
              </w:rPr>
              <w:t>建设单位</w:t>
            </w:r>
          </w:p>
        </w:tc>
        <w:tc>
          <w:tcPr>
            <w:tcW w:w="475" w:type="dxa"/>
            <w:vAlign w:val="center"/>
          </w:tcPr>
          <w:p w14:paraId="00533280">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66E5AB7B">
            <w:pPr>
              <w:pStyle w:val="46"/>
              <w:spacing w:line="240" w:lineRule="auto"/>
              <w:jc w:val="center"/>
              <w:rPr>
                <w:rFonts w:hint="eastAsia"/>
              </w:rPr>
            </w:pPr>
            <w:bookmarkStart w:id="5" w:name="建设单位"/>
          </w:p>
        </w:tc>
      </w:tr>
      <w:tr w14:paraId="703F4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CAE14BE">
            <w:pPr>
              <w:pStyle w:val="46"/>
              <w:spacing w:line="240" w:lineRule="auto"/>
              <w:jc w:val="distribute"/>
              <w:rPr>
                <w:rFonts w:hint="eastAsia"/>
              </w:rPr>
            </w:pPr>
            <w:r>
              <w:rPr>
                <w:rFonts w:hint="eastAsia"/>
              </w:rPr>
              <w:t>设计单位</w:t>
            </w:r>
          </w:p>
        </w:tc>
        <w:tc>
          <w:tcPr>
            <w:tcW w:w="475" w:type="dxa"/>
            <w:vAlign w:val="center"/>
          </w:tcPr>
          <w:p w14:paraId="5190C0E3">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C0352A5">
            <w:pPr>
              <w:pStyle w:val="46"/>
              <w:spacing w:line="240" w:lineRule="auto"/>
              <w:jc w:val="center"/>
              <w:rPr>
                <w:rFonts w:hint="eastAsia"/>
              </w:rPr>
            </w:pPr>
            <w:bookmarkStart w:id="6" w:name="设计单位"/>
          </w:p>
        </w:tc>
      </w:tr>
      <w:tr w14:paraId="28A6D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21F57B">
            <w:pPr>
              <w:pStyle w:val="46"/>
              <w:spacing w:line="240" w:lineRule="auto"/>
              <w:jc w:val="distribute"/>
              <w:rPr>
                <w:rFonts w:hint="eastAsia"/>
              </w:rPr>
            </w:pPr>
            <w:r>
              <w:rPr>
                <w:rFonts w:hint="eastAsia"/>
              </w:rPr>
              <w:t>设计人</w:t>
            </w:r>
          </w:p>
        </w:tc>
        <w:tc>
          <w:tcPr>
            <w:tcW w:w="475" w:type="dxa"/>
            <w:vAlign w:val="center"/>
          </w:tcPr>
          <w:p w14:paraId="7F2BA943">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50913FEC">
            <w:pPr>
              <w:pStyle w:val="46"/>
              <w:spacing w:line="240" w:lineRule="auto"/>
              <w:jc w:val="center"/>
              <w:rPr>
                <w:rFonts w:hint="eastAsia"/>
              </w:rPr>
            </w:pPr>
          </w:p>
        </w:tc>
      </w:tr>
      <w:tr w14:paraId="74BC1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5984A5">
            <w:pPr>
              <w:pStyle w:val="46"/>
              <w:spacing w:line="240" w:lineRule="auto"/>
              <w:jc w:val="distribute"/>
              <w:rPr>
                <w:rFonts w:hint="eastAsia"/>
              </w:rPr>
            </w:pPr>
            <w:r>
              <w:rPr>
                <w:rFonts w:hint="eastAsia"/>
              </w:rPr>
              <w:t>校对人</w:t>
            </w:r>
          </w:p>
        </w:tc>
        <w:tc>
          <w:tcPr>
            <w:tcW w:w="475" w:type="dxa"/>
            <w:vAlign w:val="center"/>
          </w:tcPr>
          <w:p w14:paraId="4710C38D">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17307D63">
            <w:pPr>
              <w:pStyle w:val="46"/>
              <w:spacing w:line="240" w:lineRule="auto"/>
              <w:jc w:val="center"/>
              <w:rPr>
                <w:rFonts w:hint="eastAsia"/>
              </w:rPr>
            </w:pPr>
          </w:p>
        </w:tc>
      </w:tr>
      <w:tr w14:paraId="3C60E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ACA243">
            <w:pPr>
              <w:pStyle w:val="46"/>
              <w:spacing w:line="240" w:lineRule="auto"/>
              <w:jc w:val="distribute"/>
              <w:rPr>
                <w:rFonts w:hint="eastAsia"/>
              </w:rPr>
            </w:pPr>
            <w:r>
              <w:rPr>
                <w:rFonts w:hint="eastAsia"/>
              </w:rPr>
              <w:t>审定人</w:t>
            </w:r>
          </w:p>
        </w:tc>
        <w:tc>
          <w:tcPr>
            <w:tcW w:w="475" w:type="dxa"/>
            <w:vAlign w:val="center"/>
          </w:tcPr>
          <w:p w14:paraId="6D8391C5">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0A744D7E">
            <w:pPr>
              <w:pStyle w:val="46"/>
              <w:spacing w:line="240" w:lineRule="auto"/>
              <w:jc w:val="center"/>
              <w:rPr>
                <w:rFonts w:hint="eastAsia"/>
              </w:rPr>
            </w:pPr>
          </w:p>
        </w:tc>
      </w:tr>
      <w:tr w14:paraId="3C694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392667">
            <w:pPr>
              <w:pStyle w:val="46"/>
              <w:spacing w:line="240" w:lineRule="auto"/>
              <w:jc w:val="distribute"/>
              <w:rPr>
                <w:rFonts w:hint="eastAsia"/>
              </w:rPr>
            </w:pPr>
            <w:r>
              <w:rPr>
                <w:rFonts w:hint="eastAsia"/>
              </w:rPr>
              <w:t>报告日期</w:t>
            </w:r>
          </w:p>
        </w:tc>
        <w:tc>
          <w:tcPr>
            <w:tcW w:w="475" w:type="dxa"/>
            <w:vAlign w:val="center"/>
          </w:tcPr>
          <w:p w14:paraId="2B6D6C5C">
            <w:pPr>
              <w:pStyle w:val="46"/>
              <w:spacing w:line="240" w:lineRule="auto"/>
              <w:jc w:val="center"/>
              <w:rPr>
                <w:rFonts w:hint="eastAsia"/>
              </w:rPr>
            </w:pPr>
            <w:r>
              <w:rPr>
                <w:rFonts w:hint="eastAsia"/>
              </w:rPr>
              <w:t>：</w:t>
            </w:r>
          </w:p>
        </w:tc>
        <w:tc>
          <w:tcPr>
            <w:tcW w:w="4624" w:type="dxa"/>
            <w:tcBorders>
              <w:top w:val="single" w:color="auto" w:sz="4" w:space="0"/>
              <w:bottom w:val="single" w:color="auto" w:sz="4" w:space="0"/>
            </w:tcBorders>
            <w:vAlign w:val="center"/>
          </w:tcPr>
          <w:p w14:paraId="7CCF5563">
            <w:pPr>
              <w:pStyle w:val="46"/>
              <w:spacing w:line="240" w:lineRule="auto"/>
              <w:jc w:val="center"/>
              <w:rPr>
                <w:rFonts w:hint="eastAsia"/>
              </w:rPr>
            </w:pPr>
            <w:bookmarkStart w:id="7" w:name="报告日期"/>
            <w:r>
              <w:t>2026年05月12日</w:t>
            </w:r>
          </w:p>
        </w:tc>
      </w:tr>
    </w:tbl>
    <w:p w14:paraId="7409E50F">
      <w:pPr>
        <w:rPr>
          <w:rFonts w:hint="eastAsia"/>
        </w:rPr>
      </w:pPr>
    </w:p>
    <w:p w14:paraId="3BCB6C91">
      <w:pPr>
        <w:pStyle w:val="48"/>
        <w:rPr>
          <w:rFonts w:hint="eastAsia"/>
        </w:rPr>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A0752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27A833B8">
            <w:pPr>
              <w:pStyle w:val="48"/>
              <w:jc w:val="distribute"/>
              <w:rPr>
                <w:rFonts w:hint="eastAsia"/>
                <w:szCs w:val="18"/>
              </w:rPr>
            </w:pPr>
            <w:r>
              <w:rPr>
                <w:rFonts w:hint="eastAsia"/>
                <w:szCs w:val="18"/>
              </w:rPr>
              <w:t>采用软件</w:t>
            </w:r>
          </w:p>
        </w:tc>
        <w:tc>
          <w:tcPr>
            <w:tcW w:w="3143" w:type="dxa"/>
            <w:tcBorders>
              <w:top w:val="single" w:color="auto" w:sz="2" w:space="0"/>
              <w:left w:val="nil"/>
              <w:bottom w:val="nil"/>
              <w:right w:val="nil"/>
            </w:tcBorders>
            <w:vAlign w:val="bottom"/>
          </w:tcPr>
          <w:p w14:paraId="5FDA4A34">
            <w:pPr>
              <w:pStyle w:val="48"/>
              <w:rPr>
                <w:rFonts w:hint="eastAsia"/>
                <w:szCs w:val="18"/>
              </w:rPr>
            </w:pPr>
            <w:r>
              <w:rPr>
                <w:rFonts w:hint="eastAsia"/>
                <w:szCs w:val="18"/>
              </w:rPr>
              <w:t xml:space="preserve">: </w:t>
            </w:r>
            <w:bookmarkStart w:id="8" w:name="采用软件"/>
            <w:r>
              <w:rPr>
                <w:rFonts w:hint="eastAsia"/>
                <w:szCs w:val="18"/>
              </w:rPr>
              <w:t>建筑通风VENT2026</w:t>
            </w:r>
          </w:p>
        </w:tc>
        <w:tc>
          <w:tcPr>
            <w:tcW w:w="3958" w:type="dxa"/>
            <w:vMerge w:val="restart"/>
            <w:tcBorders>
              <w:top w:val="single" w:color="auto" w:sz="2" w:space="0"/>
              <w:left w:val="nil"/>
              <w:bottom w:val="nil"/>
              <w:right w:val="nil"/>
            </w:tcBorders>
            <w:vAlign w:val="bottom"/>
          </w:tcPr>
          <w:p w14:paraId="4BF57694">
            <w:pPr>
              <w:pStyle w:val="48"/>
              <w:spacing w:line="240" w:lineRule="auto"/>
              <w:ind w:firstLine="360"/>
              <w:jc w:val="right"/>
              <w:rPr>
                <w:rFonts w:hint="eastAsia"/>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3E85CFC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8FDA249">
            <w:pPr>
              <w:pStyle w:val="48"/>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950F9F6">
            <w:pPr>
              <w:pStyle w:val="48"/>
              <w:rPr>
                <w:rFonts w:hint="eastAsia"/>
              </w:rPr>
            </w:pPr>
            <w:r>
              <w:rPr>
                <w:rFonts w:hint="eastAsia"/>
              </w:rPr>
              <w:t xml:space="preserve">: </w:t>
            </w:r>
            <w:bookmarkStart w:id="9" w:name="软件版本"/>
            <w:r>
              <w:rPr>
                <w:rFonts w:hint="eastAsia"/>
              </w:rPr>
              <w:t>20260303(SP1)</w:t>
            </w:r>
          </w:p>
        </w:tc>
        <w:tc>
          <w:tcPr>
            <w:tcW w:w="3958" w:type="dxa"/>
            <w:vMerge w:val="continue"/>
            <w:tcBorders>
              <w:top w:val="single" w:color="auto" w:sz="2" w:space="0"/>
              <w:left w:val="nil"/>
              <w:bottom w:val="nil"/>
              <w:right w:val="nil"/>
            </w:tcBorders>
            <w:vAlign w:val="center"/>
          </w:tcPr>
          <w:p w14:paraId="4590602F">
            <w:pPr>
              <w:spacing w:line="360" w:lineRule="exact"/>
              <w:ind w:firstLine="360"/>
              <w:rPr>
                <w:rFonts w:hint="eastAsia"/>
                <w:sz w:val="18"/>
                <w:szCs w:val="18"/>
              </w:rPr>
            </w:pPr>
          </w:p>
        </w:tc>
      </w:tr>
      <w:tr w14:paraId="631E910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31455F4">
            <w:pPr>
              <w:pStyle w:val="48"/>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694657A">
            <w:pPr>
              <w:pStyle w:val="48"/>
              <w:rPr>
                <w:rFonts w:hint="eastAsia"/>
                <w:szCs w:val="18"/>
              </w:rPr>
            </w:pPr>
            <w:r>
              <w:rPr>
                <w:rFonts w:hint="eastAsia"/>
                <w:szCs w:val="18"/>
              </w:rPr>
              <w:t xml:space="preserve">: </w:t>
            </w:r>
            <w:bookmarkStart w:id="10" w:name="加密锁号"/>
            <w:r>
              <w:rPr>
                <w:rFonts w:hint="eastAsia"/>
                <w:szCs w:val="18"/>
              </w:rPr>
              <w:t>P396E1CAA</w:t>
            </w:r>
          </w:p>
        </w:tc>
        <w:tc>
          <w:tcPr>
            <w:tcW w:w="3958" w:type="dxa"/>
            <w:vMerge w:val="continue"/>
            <w:tcBorders>
              <w:top w:val="single" w:color="auto" w:sz="2" w:space="0"/>
              <w:left w:val="nil"/>
              <w:bottom w:val="nil"/>
              <w:right w:val="nil"/>
            </w:tcBorders>
            <w:vAlign w:val="center"/>
          </w:tcPr>
          <w:p w14:paraId="608A179B">
            <w:pPr>
              <w:spacing w:line="360" w:lineRule="exact"/>
              <w:ind w:firstLine="360"/>
              <w:rPr>
                <w:rFonts w:hint="eastAsia"/>
                <w:sz w:val="18"/>
                <w:szCs w:val="18"/>
              </w:rPr>
            </w:pPr>
          </w:p>
        </w:tc>
      </w:tr>
      <w:tr w14:paraId="2E92A4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7570061">
            <w:pPr>
              <w:pStyle w:val="48"/>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063F3C9F">
            <w:pPr>
              <w:pStyle w:val="48"/>
              <w:rPr>
                <w:rFonts w:hint="eastAsia"/>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859C379">
            <w:pPr>
              <w:spacing w:line="360" w:lineRule="exact"/>
              <w:ind w:firstLine="360"/>
              <w:rPr>
                <w:rFonts w:hint="eastAsia"/>
                <w:sz w:val="18"/>
                <w:szCs w:val="18"/>
              </w:rPr>
            </w:pPr>
          </w:p>
        </w:tc>
      </w:tr>
    </w:tbl>
    <w:p w14:paraId="2CF01B11">
      <w:pPr>
        <w:jc w:val="center"/>
        <w:rPr>
          <w:rFonts w:hint="eastAsia"/>
          <w:b/>
          <w:bCs/>
          <w:sz w:val="32"/>
          <w:szCs w:val="32"/>
        </w:rPr>
      </w:pPr>
      <w:r>
        <w:rPr>
          <w:b/>
          <w:bCs/>
          <w:sz w:val="28"/>
          <w:szCs w:val="32"/>
        </w:rPr>
        <w:br w:type="page"/>
      </w:r>
      <w:r>
        <w:rPr>
          <w:rFonts w:hint="eastAsia"/>
          <w:b/>
          <w:bCs/>
          <w:sz w:val="28"/>
          <w:szCs w:val="32"/>
        </w:rPr>
        <w:t>目  录</w:t>
      </w:r>
    </w:p>
    <w:p w14:paraId="77A4E3AC">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_Toc29434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_Toc29434 \h </w:instrText>
      </w:r>
      <w:r>
        <w:fldChar w:fldCharType="separate"/>
      </w:r>
      <w:r>
        <w:t>3</w:t>
      </w:r>
      <w:r>
        <w:fldChar w:fldCharType="end"/>
      </w:r>
      <w:r>
        <w:rPr>
          <w:caps/>
        </w:rPr>
        <w:fldChar w:fldCharType="end"/>
      </w:r>
    </w:p>
    <w:p w14:paraId="56A97E68">
      <w:pPr>
        <w:pStyle w:val="20"/>
        <w:tabs>
          <w:tab w:val="right" w:leader="dot" w:pos="8306"/>
          <w:tab w:val="clear" w:pos="540"/>
          <w:tab w:val="clear" w:pos="840"/>
          <w:tab w:val="clear" w:pos="8222"/>
          <w:tab w:val="clear" w:pos="8296"/>
        </w:tabs>
      </w:pPr>
      <w:r>
        <w:fldChar w:fldCharType="begin"/>
      </w:r>
      <w:r>
        <w:instrText xml:space="preserve"> HYPERLINK \l _Toc24387 </w:instrText>
      </w:r>
      <w:r>
        <w:fldChar w:fldCharType="separate"/>
      </w:r>
      <w:r>
        <w:rPr>
          <w:rFonts w:hint="eastAsia" w:ascii="微软雅黑" w:hAnsi="微软雅黑" w:eastAsia="微软雅黑"/>
          <w:lang w:val="en-GB"/>
        </w:rPr>
        <w:t xml:space="preserve">1.1 </w:t>
      </w:r>
      <w:r>
        <w:rPr>
          <w:rFonts w:hint="eastAsia"/>
        </w:rPr>
        <w:t>项目方案</w:t>
      </w:r>
      <w:r>
        <w:t>图</w:t>
      </w:r>
      <w:r>
        <w:tab/>
      </w:r>
      <w:r>
        <w:fldChar w:fldCharType="begin"/>
      </w:r>
      <w:r>
        <w:instrText xml:space="preserve"> PAGEREF _Toc24387 \h </w:instrText>
      </w:r>
      <w:r>
        <w:fldChar w:fldCharType="separate"/>
      </w:r>
      <w:r>
        <w:t>3</w:t>
      </w:r>
      <w:r>
        <w:fldChar w:fldCharType="end"/>
      </w:r>
      <w:r>
        <w:fldChar w:fldCharType="end"/>
      </w:r>
    </w:p>
    <w:p w14:paraId="3A71E8A1">
      <w:pPr>
        <w:pStyle w:val="19"/>
        <w:tabs>
          <w:tab w:val="right" w:leader="dot" w:pos="8306"/>
          <w:tab w:val="clear" w:pos="180"/>
          <w:tab w:val="clear" w:pos="420"/>
          <w:tab w:val="clear" w:pos="8222"/>
        </w:tabs>
      </w:pPr>
      <w:r>
        <w:fldChar w:fldCharType="begin"/>
      </w:r>
      <w:r>
        <w:instrText xml:space="preserve"> HYPERLINK \l _Toc32329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_Toc32329 \h </w:instrText>
      </w:r>
      <w:r>
        <w:fldChar w:fldCharType="separate"/>
      </w:r>
      <w:r>
        <w:t>4</w:t>
      </w:r>
      <w:r>
        <w:fldChar w:fldCharType="end"/>
      </w:r>
      <w:r>
        <w:fldChar w:fldCharType="end"/>
      </w:r>
    </w:p>
    <w:p w14:paraId="1C556AFE">
      <w:pPr>
        <w:pStyle w:val="19"/>
        <w:tabs>
          <w:tab w:val="right" w:leader="dot" w:pos="8306"/>
          <w:tab w:val="clear" w:pos="180"/>
          <w:tab w:val="clear" w:pos="420"/>
          <w:tab w:val="clear" w:pos="8222"/>
        </w:tabs>
      </w:pPr>
      <w:r>
        <w:fldChar w:fldCharType="begin"/>
      </w:r>
      <w:r>
        <w:instrText xml:space="preserve"> HYPERLINK \l _Toc18757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_Toc18757 \h </w:instrText>
      </w:r>
      <w:r>
        <w:fldChar w:fldCharType="separate"/>
      </w:r>
      <w:r>
        <w:t>4</w:t>
      </w:r>
      <w:r>
        <w:fldChar w:fldCharType="end"/>
      </w:r>
      <w:r>
        <w:fldChar w:fldCharType="end"/>
      </w:r>
    </w:p>
    <w:p w14:paraId="2167E012">
      <w:pPr>
        <w:pStyle w:val="19"/>
        <w:tabs>
          <w:tab w:val="right" w:leader="dot" w:pos="8306"/>
          <w:tab w:val="clear" w:pos="180"/>
          <w:tab w:val="clear" w:pos="420"/>
          <w:tab w:val="clear" w:pos="8222"/>
        </w:tabs>
      </w:pPr>
      <w:r>
        <w:fldChar w:fldCharType="begin"/>
      </w:r>
      <w:r>
        <w:instrText xml:space="preserve"> HYPERLINK \l _Toc13594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_Toc13594 \h </w:instrText>
      </w:r>
      <w:r>
        <w:fldChar w:fldCharType="separate"/>
      </w:r>
      <w:r>
        <w:t>5</w:t>
      </w:r>
      <w:r>
        <w:fldChar w:fldCharType="end"/>
      </w:r>
      <w:r>
        <w:fldChar w:fldCharType="end"/>
      </w:r>
    </w:p>
    <w:p w14:paraId="7C6841B0">
      <w:pPr>
        <w:pStyle w:val="20"/>
        <w:tabs>
          <w:tab w:val="right" w:leader="dot" w:pos="8306"/>
          <w:tab w:val="clear" w:pos="540"/>
          <w:tab w:val="clear" w:pos="840"/>
          <w:tab w:val="clear" w:pos="8222"/>
          <w:tab w:val="clear" w:pos="8296"/>
        </w:tabs>
      </w:pPr>
      <w:r>
        <w:fldChar w:fldCharType="begin"/>
      </w:r>
      <w:r>
        <w:instrText xml:space="preserve"> HYPERLINK \l _Toc31853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_Toc31853 \h </w:instrText>
      </w:r>
      <w:r>
        <w:fldChar w:fldCharType="separate"/>
      </w:r>
      <w:r>
        <w:t>5</w:t>
      </w:r>
      <w:r>
        <w:fldChar w:fldCharType="end"/>
      </w:r>
      <w:r>
        <w:fldChar w:fldCharType="end"/>
      </w:r>
    </w:p>
    <w:p w14:paraId="20009F6C">
      <w:pPr>
        <w:pStyle w:val="20"/>
        <w:tabs>
          <w:tab w:val="right" w:leader="dot" w:pos="8306"/>
          <w:tab w:val="clear" w:pos="540"/>
          <w:tab w:val="clear" w:pos="840"/>
          <w:tab w:val="clear" w:pos="8222"/>
          <w:tab w:val="clear" w:pos="8296"/>
        </w:tabs>
      </w:pPr>
      <w:r>
        <w:fldChar w:fldCharType="begin"/>
      </w:r>
      <w:r>
        <w:instrText xml:space="preserve"> HYPERLINK \l _Toc29298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_Toc29298 \h </w:instrText>
      </w:r>
      <w:r>
        <w:fldChar w:fldCharType="separate"/>
      </w:r>
      <w:r>
        <w:t>8</w:t>
      </w:r>
      <w:r>
        <w:fldChar w:fldCharType="end"/>
      </w:r>
      <w:r>
        <w:fldChar w:fldCharType="end"/>
      </w:r>
    </w:p>
    <w:p w14:paraId="754C464B">
      <w:pPr>
        <w:pStyle w:val="20"/>
        <w:tabs>
          <w:tab w:val="right" w:leader="dot" w:pos="8306"/>
          <w:tab w:val="clear" w:pos="540"/>
          <w:tab w:val="clear" w:pos="840"/>
          <w:tab w:val="clear" w:pos="8222"/>
          <w:tab w:val="clear" w:pos="8296"/>
        </w:tabs>
      </w:pPr>
      <w:r>
        <w:fldChar w:fldCharType="begin"/>
      </w:r>
      <w:r>
        <w:instrText xml:space="preserve"> HYPERLINK \l _Toc10006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_Toc10006 \h </w:instrText>
      </w:r>
      <w:r>
        <w:fldChar w:fldCharType="separate"/>
      </w:r>
      <w:r>
        <w:t>12</w:t>
      </w:r>
      <w:r>
        <w:fldChar w:fldCharType="end"/>
      </w:r>
      <w:r>
        <w:fldChar w:fldCharType="end"/>
      </w:r>
    </w:p>
    <w:p w14:paraId="72AEE954">
      <w:pPr>
        <w:pStyle w:val="20"/>
        <w:tabs>
          <w:tab w:val="right" w:leader="dot" w:pos="8306"/>
          <w:tab w:val="clear" w:pos="540"/>
          <w:tab w:val="clear" w:pos="840"/>
          <w:tab w:val="clear" w:pos="8222"/>
          <w:tab w:val="clear" w:pos="8296"/>
        </w:tabs>
      </w:pPr>
      <w:r>
        <w:fldChar w:fldCharType="begin"/>
      </w:r>
      <w:r>
        <w:instrText xml:space="preserve"> HYPERLINK \l _Toc5377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_Toc5377 \h </w:instrText>
      </w:r>
      <w:r>
        <w:fldChar w:fldCharType="separate"/>
      </w:r>
      <w:r>
        <w:t>14</w:t>
      </w:r>
      <w:r>
        <w:fldChar w:fldCharType="end"/>
      </w:r>
      <w:r>
        <w:fldChar w:fldCharType="end"/>
      </w:r>
    </w:p>
    <w:p w14:paraId="11D5E549">
      <w:pPr>
        <w:pStyle w:val="20"/>
        <w:tabs>
          <w:tab w:val="right" w:leader="dot" w:pos="8306"/>
          <w:tab w:val="clear" w:pos="540"/>
          <w:tab w:val="clear" w:pos="840"/>
          <w:tab w:val="clear" w:pos="8222"/>
          <w:tab w:val="clear" w:pos="8296"/>
        </w:tabs>
      </w:pPr>
      <w:r>
        <w:fldChar w:fldCharType="begin"/>
      </w:r>
      <w:r>
        <w:instrText xml:space="preserve"> HYPERLINK \l _Toc30699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_Toc30699 \h </w:instrText>
      </w:r>
      <w:r>
        <w:fldChar w:fldCharType="separate"/>
      </w:r>
      <w:r>
        <w:t>14</w:t>
      </w:r>
      <w:r>
        <w:fldChar w:fldCharType="end"/>
      </w:r>
      <w:r>
        <w:fldChar w:fldCharType="end"/>
      </w:r>
    </w:p>
    <w:p w14:paraId="6AD42161">
      <w:pPr>
        <w:pStyle w:val="20"/>
        <w:tabs>
          <w:tab w:val="right" w:leader="dot" w:pos="8306"/>
          <w:tab w:val="clear" w:pos="540"/>
          <w:tab w:val="clear" w:pos="840"/>
          <w:tab w:val="clear" w:pos="8222"/>
          <w:tab w:val="clear" w:pos="8296"/>
        </w:tabs>
      </w:pPr>
      <w:r>
        <w:fldChar w:fldCharType="begin"/>
      </w:r>
      <w:r>
        <w:instrText xml:space="preserve"> HYPERLINK \l _Toc6294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_Toc6294 \h </w:instrText>
      </w:r>
      <w:r>
        <w:fldChar w:fldCharType="separate"/>
      </w:r>
      <w:r>
        <w:t>15</w:t>
      </w:r>
      <w:r>
        <w:fldChar w:fldCharType="end"/>
      </w:r>
      <w:r>
        <w:fldChar w:fldCharType="end"/>
      </w:r>
    </w:p>
    <w:p w14:paraId="6BE3BD30">
      <w:pPr>
        <w:pStyle w:val="19"/>
        <w:tabs>
          <w:tab w:val="right" w:leader="dot" w:pos="8306"/>
          <w:tab w:val="clear" w:pos="180"/>
          <w:tab w:val="clear" w:pos="420"/>
          <w:tab w:val="clear" w:pos="8222"/>
        </w:tabs>
      </w:pPr>
      <w:r>
        <w:fldChar w:fldCharType="begin"/>
      </w:r>
      <w:r>
        <w:instrText xml:space="preserve"> HYPERLINK \l _Toc11276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_Toc11276 \h </w:instrText>
      </w:r>
      <w:r>
        <w:fldChar w:fldCharType="separate"/>
      </w:r>
      <w:r>
        <w:t>16</w:t>
      </w:r>
      <w:r>
        <w:fldChar w:fldCharType="end"/>
      </w:r>
      <w:r>
        <w:fldChar w:fldCharType="end"/>
      </w:r>
    </w:p>
    <w:p w14:paraId="6A3179D0">
      <w:pPr>
        <w:pStyle w:val="20"/>
        <w:tabs>
          <w:tab w:val="right" w:leader="dot" w:pos="8306"/>
          <w:tab w:val="clear" w:pos="540"/>
          <w:tab w:val="clear" w:pos="840"/>
          <w:tab w:val="clear" w:pos="8222"/>
          <w:tab w:val="clear" w:pos="8296"/>
        </w:tabs>
      </w:pPr>
      <w:r>
        <w:fldChar w:fldCharType="begin"/>
      </w:r>
      <w:r>
        <w:instrText xml:space="preserve"> HYPERLINK \l _Toc23607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_Toc23607 \h </w:instrText>
      </w:r>
      <w:r>
        <w:fldChar w:fldCharType="separate"/>
      </w:r>
      <w:r>
        <w:t>16</w:t>
      </w:r>
      <w:r>
        <w:fldChar w:fldCharType="end"/>
      </w:r>
      <w:r>
        <w:fldChar w:fldCharType="end"/>
      </w:r>
    </w:p>
    <w:p w14:paraId="0EFDDE7B">
      <w:pPr>
        <w:pStyle w:val="20"/>
        <w:tabs>
          <w:tab w:val="right" w:leader="dot" w:pos="8306"/>
          <w:tab w:val="clear" w:pos="540"/>
          <w:tab w:val="clear" w:pos="840"/>
          <w:tab w:val="clear" w:pos="8222"/>
          <w:tab w:val="clear" w:pos="8296"/>
        </w:tabs>
      </w:pPr>
      <w:r>
        <w:fldChar w:fldCharType="begin"/>
      </w:r>
      <w:r>
        <w:instrText xml:space="preserve"> HYPERLINK \l _Toc27452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_Toc27452 \h </w:instrText>
      </w:r>
      <w:r>
        <w:fldChar w:fldCharType="separate"/>
      </w:r>
      <w:r>
        <w:t>17</w:t>
      </w:r>
      <w:r>
        <w:fldChar w:fldCharType="end"/>
      </w:r>
      <w:r>
        <w:fldChar w:fldCharType="end"/>
      </w:r>
    </w:p>
    <w:p w14:paraId="380F7CEE">
      <w:pPr>
        <w:pStyle w:val="20"/>
        <w:tabs>
          <w:tab w:val="right" w:leader="dot" w:pos="8306"/>
          <w:tab w:val="clear" w:pos="540"/>
          <w:tab w:val="clear" w:pos="840"/>
          <w:tab w:val="clear" w:pos="8222"/>
          <w:tab w:val="clear" w:pos="8296"/>
        </w:tabs>
      </w:pPr>
      <w:r>
        <w:fldChar w:fldCharType="begin"/>
      </w:r>
      <w:r>
        <w:instrText xml:space="preserve"> HYPERLINK \l _Toc524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_Toc524 \h </w:instrText>
      </w:r>
      <w:r>
        <w:fldChar w:fldCharType="separate"/>
      </w:r>
      <w:r>
        <w:t>21</w:t>
      </w:r>
      <w:r>
        <w:fldChar w:fldCharType="end"/>
      </w:r>
      <w:r>
        <w:fldChar w:fldCharType="end"/>
      </w:r>
    </w:p>
    <w:p w14:paraId="749829CF">
      <w:pPr>
        <w:pStyle w:val="20"/>
        <w:tabs>
          <w:tab w:val="right" w:leader="dot" w:pos="8306"/>
          <w:tab w:val="clear" w:pos="540"/>
          <w:tab w:val="clear" w:pos="840"/>
          <w:tab w:val="clear" w:pos="8222"/>
          <w:tab w:val="clear" w:pos="8296"/>
        </w:tabs>
      </w:pPr>
      <w:r>
        <w:fldChar w:fldCharType="begin"/>
      </w:r>
      <w:r>
        <w:instrText xml:space="preserve"> HYPERLINK \l _Toc19120 </w:instrText>
      </w:r>
      <w: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_Toc19120 \h </w:instrText>
      </w:r>
      <w:r>
        <w:fldChar w:fldCharType="separate"/>
      </w:r>
      <w:r>
        <w:t>26</w:t>
      </w:r>
      <w:r>
        <w:fldChar w:fldCharType="end"/>
      </w:r>
      <w:r>
        <w:fldChar w:fldCharType="end"/>
      </w:r>
    </w:p>
    <w:p w14:paraId="5CDECDE7">
      <w:pPr>
        <w:pStyle w:val="19"/>
        <w:tabs>
          <w:tab w:val="right" w:leader="dot" w:pos="8306"/>
          <w:tab w:val="clear" w:pos="180"/>
          <w:tab w:val="clear" w:pos="420"/>
          <w:tab w:val="clear" w:pos="8222"/>
        </w:tabs>
      </w:pPr>
      <w:r>
        <w:fldChar w:fldCharType="begin"/>
      </w:r>
      <w:r>
        <w:instrText xml:space="preserve"> HYPERLINK \l _Toc32631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_Toc32631 \h </w:instrText>
      </w:r>
      <w:r>
        <w:fldChar w:fldCharType="separate"/>
      </w:r>
      <w:r>
        <w:t>30</w:t>
      </w:r>
      <w:r>
        <w:fldChar w:fldCharType="end"/>
      </w:r>
      <w:r>
        <w:fldChar w:fldCharType="end"/>
      </w:r>
    </w:p>
    <w:p w14:paraId="1BF48233">
      <w:pPr>
        <w:pStyle w:val="20"/>
        <w:tabs>
          <w:tab w:val="right" w:leader="dot" w:pos="8306"/>
          <w:tab w:val="clear" w:pos="540"/>
          <w:tab w:val="clear" w:pos="840"/>
          <w:tab w:val="clear" w:pos="8222"/>
          <w:tab w:val="clear" w:pos="8296"/>
        </w:tabs>
      </w:pPr>
      <w:r>
        <w:fldChar w:fldCharType="begin"/>
      </w:r>
      <w:r>
        <w:instrText xml:space="preserve"> HYPERLINK \l _Toc21308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_Toc21308 \h </w:instrText>
      </w:r>
      <w:r>
        <w:fldChar w:fldCharType="separate"/>
      </w:r>
      <w:r>
        <w:t>30</w:t>
      </w:r>
      <w:r>
        <w:fldChar w:fldCharType="end"/>
      </w:r>
      <w:r>
        <w:fldChar w:fldCharType="end"/>
      </w:r>
    </w:p>
    <w:p w14:paraId="3780CF1A">
      <w:pPr>
        <w:pStyle w:val="20"/>
        <w:tabs>
          <w:tab w:val="right" w:leader="dot" w:pos="8306"/>
          <w:tab w:val="clear" w:pos="540"/>
          <w:tab w:val="clear" w:pos="840"/>
          <w:tab w:val="clear" w:pos="8222"/>
          <w:tab w:val="clear" w:pos="8296"/>
        </w:tabs>
      </w:pPr>
      <w:r>
        <w:fldChar w:fldCharType="begin"/>
      </w:r>
      <w:r>
        <w:instrText xml:space="preserve"> HYPERLINK \l _Toc26381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_Toc26381 \h </w:instrText>
      </w:r>
      <w:r>
        <w:fldChar w:fldCharType="separate"/>
      </w:r>
      <w:r>
        <w:t>31</w:t>
      </w:r>
      <w:r>
        <w:fldChar w:fldCharType="end"/>
      </w:r>
      <w:r>
        <w:fldChar w:fldCharType="end"/>
      </w:r>
    </w:p>
    <w:p w14:paraId="58E288C9">
      <w:pPr>
        <w:pStyle w:val="19"/>
        <w:tabs>
          <w:tab w:val="right" w:leader="dot" w:pos="8306"/>
          <w:tab w:val="clear" w:pos="180"/>
          <w:tab w:val="clear" w:pos="420"/>
          <w:tab w:val="clear" w:pos="8222"/>
        </w:tabs>
      </w:pPr>
      <w:r>
        <w:fldChar w:fldCharType="begin"/>
      </w:r>
      <w:r>
        <w:instrText xml:space="preserve"> HYPERLINK \l _Toc3562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_Toc3562 \h </w:instrText>
      </w:r>
      <w:r>
        <w:fldChar w:fldCharType="separate"/>
      </w:r>
      <w:r>
        <w:t>31</w:t>
      </w:r>
      <w:r>
        <w:fldChar w:fldCharType="end"/>
      </w:r>
      <w:r>
        <w:fldChar w:fldCharType="end"/>
      </w:r>
    </w:p>
    <w:p w14:paraId="02F9ADF0">
      <w:pPr>
        <w:pStyle w:val="20"/>
        <w:tabs>
          <w:tab w:val="right" w:leader="dot" w:pos="8306"/>
          <w:tab w:val="clear" w:pos="540"/>
          <w:tab w:val="clear" w:pos="840"/>
          <w:tab w:val="clear" w:pos="8222"/>
          <w:tab w:val="clear" w:pos="8296"/>
        </w:tabs>
      </w:pPr>
      <w:r>
        <w:fldChar w:fldCharType="begin"/>
      </w:r>
      <w:r>
        <w:instrText xml:space="preserve"> HYPERLINK \l _Toc854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_Toc854 \h </w:instrText>
      </w:r>
      <w:r>
        <w:fldChar w:fldCharType="separate"/>
      </w:r>
      <w:r>
        <w:t>31</w:t>
      </w:r>
      <w:r>
        <w:fldChar w:fldCharType="end"/>
      </w:r>
      <w:r>
        <w:fldChar w:fldCharType="end"/>
      </w:r>
    </w:p>
    <w:p w14:paraId="5499FD6A">
      <w:pPr>
        <w:pStyle w:val="20"/>
        <w:tabs>
          <w:tab w:val="right" w:leader="dot" w:pos="8306"/>
          <w:tab w:val="clear" w:pos="540"/>
          <w:tab w:val="clear" w:pos="840"/>
          <w:tab w:val="clear" w:pos="8222"/>
          <w:tab w:val="clear" w:pos="8296"/>
        </w:tabs>
      </w:pPr>
      <w:r>
        <w:fldChar w:fldCharType="begin"/>
      </w:r>
      <w:r>
        <w:instrText xml:space="preserve"> HYPERLINK \l _Toc29246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_Toc29246 \h </w:instrText>
      </w:r>
      <w:r>
        <w:fldChar w:fldCharType="separate"/>
      </w:r>
      <w:r>
        <w:t>32</w:t>
      </w:r>
      <w:r>
        <w:fldChar w:fldCharType="end"/>
      </w:r>
      <w:r>
        <w:fldChar w:fldCharType="end"/>
      </w:r>
    </w:p>
    <w:p w14:paraId="563C1771">
      <w:pPr>
        <w:pStyle w:val="19"/>
        <w:rPr>
          <w:rFonts w:hint="eastAsia"/>
        </w:rPr>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D189656">
      <w:pPr>
        <w:pStyle w:val="2"/>
        <w:rPr>
          <w:rFonts w:hint="eastAsia" w:ascii="微软雅黑" w:hAnsi="微软雅黑"/>
        </w:rPr>
      </w:pPr>
      <w:bookmarkStart w:id="12" w:name="_Toc29434"/>
      <w:bookmarkStart w:id="13" w:name="_Toc452108759"/>
      <w:r>
        <w:rPr>
          <w:rFonts w:hint="eastAsia" w:ascii="微软雅黑" w:hAnsi="微软雅黑"/>
        </w:rPr>
        <w:t>项目概况</w:t>
      </w:r>
      <w:bookmarkEnd w:id="12"/>
    </w:p>
    <w:p w14:paraId="773AB306">
      <w:pPr>
        <w:ind w:firstLine="424" w:firstLineChars="202"/>
        <w:rPr>
          <w:rFonts w:hint="eastAsia"/>
          <w:lang w:val="en-US"/>
        </w:rPr>
      </w:pPr>
      <w:bookmarkStart w:id="14" w:name="项目概况"/>
    </w:p>
    <w:p w14:paraId="4F21F749">
      <w:pPr>
        <w:pStyle w:val="3"/>
        <w:ind w:firstLine="420"/>
        <w:rPr>
          <w:rFonts w:hint="eastAsia" w:ascii="微软雅黑" w:hAnsi="微软雅黑" w:eastAsia="微软雅黑"/>
          <w:lang w:val="en-US"/>
        </w:rPr>
      </w:pPr>
    </w:p>
    <w:p w14:paraId="40955E9B">
      <w:pPr>
        <w:pStyle w:val="4"/>
        <w:rPr>
          <w:rFonts w:hint="eastAsia"/>
        </w:rPr>
      </w:pPr>
      <w:bookmarkStart w:id="15" w:name="_Toc24387"/>
      <w:bookmarkStart w:id="16" w:name="_Toc452108760"/>
      <w:r>
        <w:rPr>
          <w:rFonts w:hint="eastAsia"/>
        </w:rPr>
        <w:t>项目方案</w:t>
      </w:r>
      <w:r>
        <w:t>图</w:t>
      </w:r>
      <w:bookmarkEnd w:id="15"/>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FC6B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57" w:hRule="atLeast"/>
          <w:jc w:val="center"/>
        </w:trPr>
        <w:tc>
          <w:tcPr>
            <w:tcW w:w="564" w:type="dxa"/>
            <w:shd w:val="clear" w:color="auto" w:fill="898783"/>
          </w:tcPr>
          <w:p w14:paraId="7AE9A13C">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53501BE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建筑</w:t>
            </w:r>
          </w:p>
        </w:tc>
        <w:tc>
          <w:tcPr>
            <w:tcW w:w="505" w:type="dxa"/>
            <w:shd w:val="clear" w:color="auto" w:fill="D9D9D7"/>
            <w:vAlign w:val="center"/>
          </w:tcPr>
          <w:p w14:paraId="4A61AC19">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75663C0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人行道</w:t>
            </w:r>
          </w:p>
          <w:p w14:paraId="681BBC5E">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FFFFCF"/>
            <w:vAlign w:val="center"/>
          </w:tcPr>
          <w:p w14:paraId="745E7AC8">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629AE2A7">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停车场</w:t>
            </w:r>
          </w:p>
          <w:p w14:paraId="4AEE5475">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63" w:type="dxa"/>
            <w:shd w:val="clear" w:color="auto" w:fill="B2DBFF"/>
            <w:vAlign w:val="center"/>
          </w:tcPr>
          <w:p w14:paraId="5C87CEED">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05082F78">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广场</w:t>
            </w:r>
          </w:p>
          <w:p w14:paraId="3028F010">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E1BE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51E81569">
            <w:pPr>
              <w:pStyle w:val="3"/>
              <w:spacing w:line="80" w:lineRule="exact"/>
              <w:ind w:firstLine="0" w:firstLineChars="0"/>
              <w:jc w:val="center"/>
              <w:rPr>
                <w:rFonts w:hint="eastAsia" w:ascii="微软雅黑" w:hAnsi="微软雅黑" w:eastAsia="微软雅黑"/>
                <w:sz w:val="18"/>
                <w:szCs w:val="18"/>
                <w:lang w:val="en-US"/>
              </w:rPr>
            </w:pPr>
            <w:bookmarkStart w:id="17" w:name="_Hlk207984260"/>
          </w:p>
        </w:tc>
      </w:tr>
      <w:tr w14:paraId="3CFA6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C49FDD"/>
          </w:tcPr>
          <w:p w14:paraId="0FB5F751">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7364310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游憩场</w:t>
            </w:r>
          </w:p>
          <w:p w14:paraId="10933AD3">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05" w:type="dxa"/>
            <w:shd w:val="clear" w:color="auto" w:fill="FFB7B6"/>
            <w:vAlign w:val="center"/>
          </w:tcPr>
          <w:p w14:paraId="711A2D7B">
            <w:pPr>
              <w:pStyle w:val="3"/>
              <w:spacing w:line="220" w:lineRule="exact"/>
              <w:ind w:firstLine="0" w:firstLineChars="0"/>
              <w:jc w:val="center"/>
              <w:rPr>
                <w:rFonts w:hint="eastAsia" w:ascii="微软雅黑" w:hAnsi="微软雅黑" w:eastAsia="微软雅黑"/>
                <w:sz w:val="18"/>
                <w:szCs w:val="18"/>
                <w:lang w:val="en-US"/>
              </w:rPr>
            </w:pPr>
          </w:p>
        </w:tc>
        <w:tc>
          <w:tcPr>
            <w:tcW w:w="1407" w:type="dxa"/>
            <w:vAlign w:val="center"/>
          </w:tcPr>
          <w:p w14:paraId="614B61F5">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6AFE2E8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B3EAF2"/>
            <w:vAlign w:val="center"/>
          </w:tcPr>
          <w:p w14:paraId="7A83762A">
            <w:pPr>
              <w:pStyle w:val="3"/>
              <w:spacing w:line="240" w:lineRule="auto"/>
              <w:ind w:firstLine="0" w:firstLineChars="0"/>
              <w:jc w:val="center"/>
              <w:rPr>
                <w:rFonts w:hint="eastAsia" w:ascii="微软雅黑" w:hAnsi="微软雅黑" w:eastAsia="微软雅黑"/>
                <w:sz w:val="18"/>
                <w:szCs w:val="18"/>
                <w:lang w:val="en-US"/>
              </w:rPr>
            </w:pPr>
          </w:p>
        </w:tc>
        <w:tc>
          <w:tcPr>
            <w:tcW w:w="1408" w:type="dxa"/>
            <w:vAlign w:val="center"/>
          </w:tcPr>
          <w:p w14:paraId="100E3C7B">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266BEA24">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E2E29A"/>
            <w:vAlign w:val="center"/>
          </w:tcPr>
          <w:p w14:paraId="59CF06AD">
            <w:pPr>
              <w:pStyle w:val="3"/>
              <w:spacing w:line="240" w:lineRule="auto"/>
              <w:ind w:firstLine="0" w:firstLineChars="0"/>
              <w:jc w:val="center"/>
              <w:rPr>
                <w:rFonts w:hint="eastAsia" w:ascii="微软雅黑" w:hAnsi="微软雅黑" w:eastAsia="微软雅黑"/>
                <w:sz w:val="18"/>
                <w:szCs w:val="18"/>
                <w:lang w:val="en-US"/>
              </w:rPr>
            </w:pPr>
          </w:p>
        </w:tc>
        <w:tc>
          <w:tcPr>
            <w:tcW w:w="1266" w:type="dxa"/>
            <w:vAlign w:val="center"/>
          </w:tcPr>
          <w:p w14:paraId="32369FAF">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庭院</w:t>
            </w:r>
          </w:p>
          <w:p w14:paraId="0D7AE301">
            <w:pPr>
              <w:pStyle w:val="3"/>
              <w:spacing w:line="20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2C50E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 w:hRule="atLeast"/>
          <w:jc w:val="center"/>
        </w:trPr>
        <w:tc>
          <w:tcPr>
            <w:tcW w:w="7461" w:type="dxa"/>
            <w:gridSpan w:val="8"/>
          </w:tcPr>
          <w:p w14:paraId="15FFD5DB">
            <w:pPr>
              <w:pStyle w:val="3"/>
              <w:spacing w:line="80" w:lineRule="exact"/>
              <w:ind w:firstLine="0" w:firstLineChars="0"/>
              <w:jc w:val="center"/>
              <w:rPr>
                <w:rFonts w:hint="eastAsia" w:ascii="微软雅黑" w:hAnsi="微软雅黑" w:eastAsia="微软雅黑"/>
                <w:sz w:val="18"/>
                <w:szCs w:val="18"/>
                <w:lang w:val="en-US"/>
              </w:rPr>
            </w:pPr>
          </w:p>
        </w:tc>
      </w:tr>
      <w:tr w14:paraId="79065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7" w:hRule="atLeast"/>
          <w:jc w:val="center"/>
        </w:trPr>
        <w:tc>
          <w:tcPr>
            <w:tcW w:w="564" w:type="dxa"/>
            <w:shd w:val="clear" w:color="auto" w:fill="5B9F5B"/>
          </w:tcPr>
          <w:p w14:paraId="1DBBDE31">
            <w:pPr>
              <w:pStyle w:val="3"/>
              <w:spacing w:line="240" w:lineRule="auto"/>
              <w:ind w:firstLine="0" w:firstLineChars="0"/>
              <w:jc w:val="center"/>
              <w:rPr>
                <w:rFonts w:hint="eastAsia" w:ascii="微软雅黑" w:hAnsi="微软雅黑" w:eastAsia="微软雅黑"/>
                <w:sz w:val="18"/>
                <w:szCs w:val="18"/>
                <w:lang w:val="en-US"/>
              </w:rPr>
            </w:pPr>
          </w:p>
        </w:tc>
        <w:tc>
          <w:tcPr>
            <w:tcW w:w="1185" w:type="dxa"/>
            <w:vAlign w:val="center"/>
          </w:tcPr>
          <w:p w14:paraId="28ABD2B6">
            <w:pPr>
              <w:pStyle w:val="3"/>
              <w:spacing w:line="220" w:lineRule="exac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乔木林地</w:t>
            </w:r>
          </w:p>
        </w:tc>
        <w:tc>
          <w:tcPr>
            <w:tcW w:w="5712" w:type="dxa"/>
            <w:gridSpan w:val="6"/>
            <w:vAlign w:val="center"/>
          </w:tcPr>
          <w:p w14:paraId="32CCDF77">
            <w:pPr>
              <w:pStyle w:val="3"/>
              <w:spacing w:line="220" w:lineRule="exact"/>
              <w:ind w:firstLine="0" w:firstLineChars="0"/>
              <w:jc w:val="center"/>
              <w:rPr>
                <w:rFonts w:hint="eastAsia" w:ascii="微软雅黑" w:hAnsi="微软雅黑" w:eastAsia="微软雅黑"/>
                <w:sz w:val="18"/>
                <w:szCs w:val="18"/>
                <w:lang w:val="en-US"/>
              </w:rPr>
            </w:pPr>
          </w:p>
        </w:tc>
      </w:tr>
    </w:tbl>
    <w:p w14:paraId="0FEC168D">
      <w:pPr>
        <w:pStyle w:val="3"/>
        <w:ind w:firstLine="0" w:firstLineChars="0"/>
        <w:jc w:val="center"/>
        <w:rPr>
          <w:rFonts w:hint="eastAsia" w:ascii="微软雅黑" w:hAnsi="微软雅黑" w:eastAsia="微软雅黑"/>
          <w:lang w:val="en-US"/>
        </w:rPr>
      </w:pPr>
      <w:r>
        <w:rPr>
          <w:rFonts w:hint="eastAsia" w:ascii="微软雅黑" w:hAnsi="微软雅黑" w:eastAsia="微软雅黑"/>
          <w:lang w:val="en-US"/>
        </w:rPr>
        <w:t xml:space="preserve"> </w:t>
      </w:r>
      <w:bookmarkStart w:id="18" w:name="总平面图"/>
      <w:r>
        <w:drawing>
          <wp:inline distT="0" distB="0" distL="0" distR="0">
            <wp:extent cx="5667375" cy="37814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6667937D">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534B92DA">
      <w:pPr>
        <w:pStyle w:val="3"/>
        <w:ind w:firstLine="0" w:firstLineChars="0"/>
        <w:jc w:val="center"/>
        <w:rPr>
          <w:rFonts w:hint="eastAsia" w:ascii="微软雅黑" w:hAnsi="微软雅黑" w:eastAsia="微软雅黑"/>
          <w:lang w:val="en-US"/>
        </w:rPr>
      </w:pPr>
      <w:bookmarkStart w:id="19" w:name="三维视图"/>
      <w:r>
        <w:drawing>
          <wp:inline distT="0" distB="0" distL="0" distR="0">
            <wp:extent cx="5667375" cy="38004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76E87B54">
      <w:pPr>
        <w:pStyle w:val="13"/>
        <w:jc w:val="center"/>
        <w:rPr>
          <w:rFonts w:hint="eastAsia"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D29B77D">
      <w:pPr>
        <w:pStyle w:val="3"/>
        <w:ind w:firstLine="0" w:firstLineChars="0"/>
        <w:rPr>
          <w:rFonts w:hint="eastAsia" w:ascii="微软雅黑" w:hAnsi="微软雅黑" w:eastAsia="微软雅黑"/>
          <w:lang w:val="en-US"/>
        </w:rPr>
      </w:pPr>
    </w:p>
    <w:p w14:paraId="082CA37C">
      <w:pPr>
        <w:pStyle w:val="2"/>
        <w:rPr>
          <w:rFonts w:hint="eastAsia" w:ascii="微软雅黑" w:hAnsi="微软雅黑"/>
        </w:rPr>
      </w:pPr>
      <w:bookmarkStart w:id="20" w:name="_Toc32329"/>
      <w:bookmarkStart w:id="21" w:name="TitleFormat"/>
      <w:bookmarkStart w:id="22" w:name="_Toc452108762"/>
      <w:r>
        <w:rPr>
          <w:rFonts w:hint="eastAsia" w:ascii="微软雅黑" w:hAnsi="微软雅黑"/>
        </w:rPr>
        <w:t>计算</w:t>
      </w:r>
      <w:r>
        <w:rPr>
          <w:rFonts w:ascii="微软雅黑" w:hAnsi="微软雅黑"/>
        </w:rPr>
        <w:t>依据</w:t>
      </w:r>
      <w:bookmarkEnd w:id="20"/>
    </w:p>
    <w:p w14:paraId="728AC071">
      <w:pPr>
        <w:pStyle w:val="3"/>
        <w:ind w:firstLine="420"/>
        <w:rPr>
          <w:rFonts w:hint="eastAsia" w:ascii="微软雅黑" w:hAnsi="微软雅黑" w:eastAsia="微软雅黑"/>
          <w:lang w:val="en-US"/>
        </w:rPr>
      </w:pPr>
      <w:r>
        <w:rPr>
          <w:rFonts w:hint="eastAsia" w:ascii="微软雅黑" w:hAnsi="微软雅黑" w:eastAsia="微软雅黑"/>
          <w:lang w:val="en-US"/>
        </w:rPr>
        <w:t>本项目主要参照资料为：</w:t>
      </w:r>
    </w:p>
    <w:p w14:paraId="6FB3BCF1">
      <w:pPr>
        <w:pStyle w:val="3"/>
        <w:numPr>
          <w:ilvl w:val="0"/>
          <w:numId w:val="2"/>
        </w:numPr>
        <w:ind w:firstLineChars="0"/>
        <w:rPr>
          <w:rFonts w:hint="eastAsia" w:ascii="微软雅黑" w:hAnsi="微软雅黑" w:eastAsia="微软雅黑"/>
          <w:lang w:val="en-US"/>
        </w:rPr>
      </w:pPr>
      <w:bookmarkStart w:id="23" w:name="参考标准名称1"/>
      <w:r>
        <w:rPr>
          <w:rFonts w:hint="eastAsia" w:ascii="微软雅黑" w:hAnsi="微软雅黑" w:eastAsia="微软雅黑"/>
          <w:lang w:val="en-US"/>
        </w:rPr>
        <w:t>《绿色建筑评价标准》GB/T 50378-2019（2024年版）</w:t>
      </w:r>
    </w:p>
    <w:p w14:paraId="0EE7F70E">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《建筑通风效果测试与评价标准》JGJ/T 309—2013</w:t>
      </w:r>
    </w:p>
    <w:p w14:paraId="2A666D42">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《绿色建筑评价技术细则》</w:t>
      </w:r>
    </w:p>
    <w:p w14:paraId="140C0317">
      <w:pPr>
        <w:pStyle w:val="3"/>
        <w:numPr>
          <w:ilvl w:val="0"/>
          <w:numId w:val="2"/>
        </w:numPr>
        <w:ind w:firstLineChars="0"/>
        <w:rPr>
          <w:rFonts w:hint="eastAsia"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801C56B">
      <w:pPr>
        <w:pStyle w:val="2"/>
        <w:rPr>
          <w:rFonts w:hint="eastAsia" w:ascii="微软雅黑" w:hAnsi="微软雅黑"/>
        </w:rPr>
      </w:pPr>
      <w:bookmarkStart w:id="24" w:name="_Toc18757"/>
      <w:bookmarkStart w:id="25" w:name="_Toc452108763"/>
      <w:r>
        <w:rPr>
          <w:rFonts w:hint="eastAsia" w:ascii="微软雅黑" w:hAnsi="微软雅黑"/>
        </w:rPr>
        <w:t>参考</w:t>
      </w:r>
      <w:r>
        <w:rPr>
          <w:rFonts w:ascii="微软雅黑" w:hAnsi="微软雅黑"/>
        </w:rPr>
        <w:t>标准</w:t>
      </w:r>
      <w:bookmarkEnd w:id="24"/>
    </w:p>
    <w:p w14:paraId="349CC5AF">
      <w:pPr>
        <w:pStyle w:val="3"/>
        <w:ind w:firstLine="420"/>
        <w:rPr>
          <w:rFonts w:hint="eastAsia" w:ascii="微软雅黑" w:hAnsi="微软雅黑" w:eastAsia="微软雅黑"/>
          <w:lang w:val="en-US"/>
        </w:rPr>
      </w:pPr>
      <w:r>
        <w:rPr>
          <w:rFonts w:hint="eastAsia" w:ascii="微软雅黑" w:hAnsi="微软雅黑" w:eastAsia="微软雅黑"/>
          <w:lang w:val="en-US"/>
        </w:rPr>
        <w:t>室外风环境评价依据为</w:t>
      </w:r>
      <w:bookmarkStart w:id="26" w:name="参考标准名称2"/>
      <w:r>
        <w:rPr>
          <w:rFonts w:hint="eastAsia" w:ascii="微软雅黑" w:hAnsi="微软雅黑" w:eastAsia="微软雅黑"/>
          <w:lang w:val="en-US"/>
        </w:rPr>
        <w:t>《绿色建筑评价标准》GB/T 50378-2019（2024年版）中有关室外风环境的条目要求。具体要求如下：</w:t>
      </w:r>
    </w:p>
    <w:p w14:paraId="1DE1CE33">
      <w:pPr>
        <w:pStyle w:val="3"/>
        <w:ind w:firstLine="420"/>
        <w:rPr>
          <w:rFonts w:hint="eastAsia" w:ascii="微软雅黑" w:hAnsi="微软雅黑" w:eastAsia="微软雅黑"/>
          <w:lang w:val="en-US"/>
        </w:rPr>
      </w:pPr>
      <w:bookmarkStart w:id="27" w:name="_Toc451698935"/>
      <w:bookmarkStart w:id="28" w:name="_Toc451436145"/>
      <w:bookmarkStart w:id="29" w:name="_Toc452108764"/>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4144C325">
      <w:pPr>
        <w:pStyle w:val="3"/>
        <w:ind w:firstLine="420"/>
        <w:rPr>
          <w:rFonts w:hint="eastAsia"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1B062DB5">
      <w:pPr>
        <w:pStyle w:val="3"/>
        <w:ind w:firstLine="420"/>
        <w:rPr>
          <w:rFonts w:hint="eastAsia"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0" w:name="参考标准冬季风速得分"/>
      <w:r>
        <w:rPr>
          <w:rFonts w:ascii="微软雅黑" w:hAnsi="微软雅黑" w:eastAsia="微软雅黑"/>
          <w:lang w:val="en-US"/>
        </w:rPr>
        <w:t>3</w:t>
      </w:r>
      <w:bookmarkEnd w:id="30"/>
      <w:r>
        <w:rPr>
          <w:rFonts w:hint="eastAsia" w:ascii="微软雅黑" w:hAnsi="微软雅黑" w:eastAsia="微软雅黑"/>
          <w:lang w:val="en-US"/>
        </w:rPr>
        <w:t>分；</w:t>
      </w:r>
    </w:p>
    <w:p w14:paraId="529BEFCC">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1" w:name="参考标准冬季风压得分"/>
      <w:r>
        <w:rPr>
          <w:rFonts w:ascii="微软雅黑" w:hAnsi="微软雅黑" w:eastAsia="微软雅黑"/>
          <w:lang w:val="en-US"/>
        </w:rPr>
        <w:t>2</w:t>
      </w:r>
      <w:bookmarkEnd w:id="31"/>
      <w:r>
        <w:rPr>
          <w:rFonts w:hint="eastAsia" w:ascii="微软雅黑" w:hAnsi="微软雅黑" w:eastAsia="微软雅黑"/>
          <w:lang w:val="en-US"/>
        </w:rPr>
        <w:t>分。</w:t>
      </w:r>
    </w:p>
    <w:p w14:paraId="67EE7F4B">
      <w:pPr>
        <w:pStyle w:val="3"/>
        <w:ind w:firstLine="420"/>
        <w:rPr>
          <w:rFonts w:hint="eastAsia"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48AB4B88">
      <w:pPr>
        <w:pStyle w:val="3"/>
        <w:ind w:firstLine="420"/>
        <w:rPr>
          <w:rFonts w:hint="eastAsia"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2" w:name="参考标准夏季风速得分"/>
      <w:r>
        <w:rPr>
          <w:rFonts w:ascii="微软雅黑" w:hAnsi="微软雅黑" w:eastAsia="微软雅黑"/>
          <w:lang w:val="en-US"/>
        </w:rPr>
        <w:t>3</w:t>
      </w:r>
      <w:bookmarkEnd w:id="32"/>
      <w:r>
        <w:rPr>
          <w:rFonts w:hint="eastAsia" w:ascii="微软雅黑" w:hAnsi="微软雅黑" w:eastAsia="微软雅黑"/>
          <w:lang w:val="en-US"/>
        </w:rPr>
        <w:t>分；</w:t>
      </w:r>
    </w:p>
    <w:p w14:paraId="0F940FFD">
      <w:pPr>
        <w:pStyle w:val="3"/>
        <w:ind w:firstLine="420"/>
        <w:rPr>
          <w:rFonts w:hint="eastAsia"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3" w:name="参考标准夏季风压得分"/>
      <w:r>
        <w:rPr>
          <w:rFonts w:ascii="微软雅黑" w:hAnsi="微软雅黑" w:eastAsia="微软雅黑"/>
          <w:lang w:val="en-US"/>
        </w:rPr>
        <w:t>2</w:t>
      </w:r>
      <w:bookmarkEnd w:id="33"/>
      <w:r>
        <w:rPr>
          <w:rFonts w:hint="eastAsia" w:ascii="微软雅黑" w:hAnsi="微软雅黑" w:eastAsia="微软雅黑"/>
          <w:lang w:val="en-US"/>
        </w:rPr>
        <w:t>分。</w:t>
      </w:r>
    </w:p>
    <w:p w14:paraId="095F70CA">
      <w:pPr>
        <w:pStyle w:val="2"/>
        <w:rPr>
          <w:rFonts w:hint="eastAsia" w:ascii="微软雅黑" w:hAnsi="微软雅黑"/>
        </w:rPr>
      </w:pPr>
      <w:bookmarkStart w:id="34" w:name="_Toc13594"/>
      <w:r>
        <w:rPr>
          <w:rFonts w:hint="eastAsia" w:ascii="微软雅黑" w:hAnsi="微软雅黑"/>
        </w:rPr>
        <w:t>计算原理</w:t>
      </w:r>
      <w:bookmarkEnd w:id="27"/>
      <w:bookmarkEnd w:id="34"/>
    </w:p>
    <w:p w14:paraId="2FB5E501">
      <w:pPr>
        <w:pStyle w:val="4"/>
        <w:numPr>
          <w:ilvl w:val="1"/>
          <w:numId w:val="3"/>
        </w:numPr>
        <w:rPr>
          <w:rFonts w:hint="eastAsia"/>
        </w:rPr>
      </w:pPr>
      <w:bookmarkStart w:id="35" w:name="_Toc509844740"/>
      <w:bookmarkStart w:id="36" w:name="_Toc31853"/>
      <w:bookmarkStart w:id="37" w:name="_Toc451698937"/>
      <w:bookmarkStart w:id="38" w:name="_Toc452108765"/>
      <w:r>
        <w:rPr>
          <w:rFonts w:hint="eastAsia"/>
        </w:rPr>
        <w:t>风场计算域</w:t>
      </w:r>
      <w:bookmarkEnd w:id="35"/>
      <w:bookmarkEnd w:id="36"/>
    </w:p>
    <w:p w14:paraId="27431744">
      <w:pPr>
        <w:pStyle w:val="3"/>
        <w:ind w:firstLine="420"/>
        <w:rPr>
          <w:rFonts w:hint="eastAsia"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687C9C3">
      <w:pPr>
        <w:pStyle w:val="5"/>
        <w:numPr>
          <w:ilvl w:val="2"/>
          <w:numId w:val="4"/>
        </w:numPr>
      </w:pPr>
      <w:bookmarkStart w:id="39" w:name="季节1"/>
      <w:r>
        <w:rPr>
          <w:rFonts w:hint="eastAsia"/>
        </w:rPr>
        <w:t>冬季</w:t>
      </w:r>
      <w:bookmarkEnd w:id="39"/>
      <w:r>
        <w:rPr>
          <w:rFonts w:hint="eastAsia"/>
        </w:rPr>
        <w:t>工况风场计算域</w:t>
      </w:r>
    </w:p>
    <w:p w14:paraId="71E6959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0" w:name="季节2"/>
      <w:r>
        <w:rPr>
          <w:rFonts w:hint="eastAsia" w:ascii="微软雅黑" w:hAnsi="微软雅黑" w:eastAsia="微软雅黑"/>
          <w:sz w:val="18"/>
          <w:szCs w:val="18"/>
        </w:rPr>
        <w:t>冬季</w:t>
      </w:r>
      <w:bookmarkEnd w:id="40"/>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3D012855">
        <w:tblPrEx>
          <w:tblCellMar>
            <w:top w:w="0" w:type="dxa"/>
            <w:left w:w="108" w:type="dxa"/>
            <w:bottom w:w="0" w:type="dxa"/>
            <w:right w:w="108" w:type="dxa"/>
          </w:tblCellMar>
        </w:tblPrEx>
        <w:trPr>
          <w:jc w:val="center"/>
        </w:trPr>
        <w:tc>
          <w:tcPr>
            <w:tcW w:w="2765" w:type="dxa"/>
          </w:tcPr>
          <w:p w14:paraId="5EA33462">
            <w:pPr>
              <w:jc w:val="center"/>
            </w:pPr>
            <w:r>
              <w:rPr>
                <w:rFonts w:hint="eastAsia"/>
              </w:rPr>
              <w:t>顺风方向尺寸（m）</w:t>
            </w:r>
          </w:p>
        </w:tc>
        <w:tc>
          <w:tcPr>
            <w:tcW w:w="2765" w:type="dxa"/>
          </w:tcPr>
          <w:p w14:paraId="68B9AB50">
            <w:pPr>
              <w:jc w:val="center"/>
            </w:pPr>
            <w:r>
              <w:rPr>
                <w:rFonts w:hint="eastAsia"/>
              </w:rPr>
              <w:t>宽度方向尺寸（m）</w:t>
            </w:r>
          </w:p>
        </w:tc>
        <w:tc>
          <w:tcPr>
            <w:tcW w:w="2766" w:type="dxa"/>
          </w:tcPr>
          <w:p w14:paraId="56736080">
            <w:pPr>
              <w:jc w:val="center"/>
            </w:pPr>
            <w:r>
              <w:rPr>
                <w:rFonts w:hint="eastAsia"/>
              </w:rPr>
              <w:t>高度方向尺寸（m）</w:t>
            </w:r>
          </w:p>
        </w:tc>
      </w:tr>
      <w:tr w14:paraId="5EA57140">
        <w:tblPrEx>
          <w:tblCellMar>
            <w:top w:w="0" w:type="dxa"/>
            <w:left w:w="108" w:type="dxa"/>
            <w:bottom w:w="0" w:type="dxa"/>
            <w:right w:w="108" w:type="dxa"/>
          </w:tblCellMar>
        </w:tblPrEx>
        <w:trPr>
          <w:jc w:val="center"/>
        </w:trPr>
        <w:tc>
          <w:tcPr>
            <w:tcW w:w="2765" w:type="dxa"/>
          </w:tcPr>
          <w:p w14:paraId="4EEFB0D2">
            <w:pPr>
              <w:jc w:val="center"/>
            </w:pPr>
            <w:bookmarkStart w:id="41" w:name="冬季风场X尺寸"/>
            <w:r>
              <w:t>382</w:t>
            </w:r>
            <w:bookmarkEnd w:id="41"/>
          </w:p>
        </w:tc>
        <w:tc>
          <w:tcPr>
            <w:tcW w:w="2765" w:type="dxa"/>
          </w:tcPr>
          <w:p w14:paraId="35445CCB">
            <w:pPr>
              <w:jc w:val="center"/>
            </w:pPr>
            <w:bookmarkStart w:id="42" w:name="冬季风场Y尺寸"/>
            <w:r>
              <w:t>360</w:t>
            </w:r>
            <w:bookmarkEnd w:id="42"/>
          </w:p>
        </w:tc>
        <w:tc>
          <w:tcPr>
            <w:tcW w:w="2766" w:type="dxa"/>
          </w:tcPr>
          <w:p w14:paraId="7210F58E">
            <w:pPr>
              <w:jc w:val="center"/>
            </w:pPr>
            <w:bookmarkStart w:id="43" w:name="冬季风场Z尺寸"/>
            <w:r>
              <w:t>120</w:t>
            </w:r>
            <w:bookmarkEnd w:id="43"/>
          </w:p>
        </w:tc>
      </w:tr>
    </w:tbl>
    <w:p w14:paraId="7AE98BD2">
      <w:pPr>
        <w:pStyle w:val="3"/>
        <w:ind w:firstLine="0" w:firstLineChars="0"/>
        <w:jc w:val="center"/>
        <w:rPr>
          <w:rFonts w:ascii="微软雅黑" w:hAnsi="微软雅黑" w:eastAsia="微软雅黑"/>
          <w:lang w:val="en-US"/>
        </w:rPr>
      </w:pPr>
      <w:bookmarkStart w:id="44" w:name="冬季工况风场计算域图示"/>
      <w:r>
        <w:drawing>
          <wp:inline distT="0" distB="0" distL="0" distR="0">
            <wp:extent cx="5667375" cy="36099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4A937E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5" w:name="季节3"/>
      <w:r>
        <w:rPr>
          <w:rFonts w:hint="eastAsia" w:ascii="微软雅黑" w:hAnsi="微软雅黑" w:eastAsia="微软雅黑"/>
          <w:sz w:val="18"/>
          <w:szCs w:val="18"/>
        </w:rPr>
        <w:t>冬季</w:t>
      </w:r>
      <w:bookmarkEnd w:id="45"/>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21E5D011">
      <w:pPr>
        <w:pStyle w:val="5"/>
        <w:numPr>
          <w:ilvl w:val="2"/>
          <w:numId w:val="4"/>
        </w:numPr>
      </w:pPr>
      <w:r>
        <w:rPr>
          <w:rFonts w:hint="eastAsia"/>
        </w:rPr>
        <w:t>夏季工况风场计算域</w:t>
      </w:r>
    </w:p>
    <w:p w14:paraId="3B8C584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5A36772">
        <w:tblPrEx>
          <w:tblCellMar>
            <w:top w:w="0" w:type="dxa"/>
            <w:left w:w="108" w:type="dxa"/>
            <w:bottom w:w="0" w:type="dxa"/>
            <w:right w:w="108" w:type="dxa"/>
          </w:tblCellMar>
        </w:tblPrEx>
        <w:trPr>
          <w:jc w:val="center"/>
        </w:trPr>
        <w:tc>
          <w:tcPr>
            <w:tcW w:w="2765" w:type="dxa"/>
          </w:tcPr>
          <w:p w14:paraId="3BAB2BE7">
            <w:pPr>
              <w:jc w:val="center"/>
            </w:pPr>
            <w:r>
              <w:rPr>
                <w:rFonts w:hint="eastAsia"/>
              </w:rPr>
              <w:t>顺风方向尺寸（m）</w:t>
            </w:r>
          </w:p>
        </w:tc>
        <w:tc>
          <w:tcPr>
            <w:tcW w:w="2765" w:type="dxa"/>
          </w:tcPr>
          <w:p w14:paraId="25EF122A">
            <w:pPr>
              <w:jc w:val="center"/>
            </w:pPr>
            <w:r>
              <w:rPr>
                <w:rFonts w:hint="eastAsia"/>
              </w:rPr>
              <w:t>宽度方向尺寸（m）</w:t>
            </w:r>
          </w:p>
        </w:tc>
        <w:tc>
          <w:tcPr>
            <w:tcW w:w="2766" w:type="dxa"/>
          </w:tcPr>
          <w:p w14:paraId="3D716B6B">
            <w:pPr>
              <w:jc w:val="center"/>
            </w:pPr>
            <w:r>
              <w:rPr>
                <w:rFonts w:hint="eastAsia"/>
              </w:rPr>
              <w:t>高度方向尺寸（m）</w:t>
            </w:r>
          </w:p>
        </w:tc>
      </w:tr>
      <w:tr w14:paraId="56E3490D">
        <w:tblPrEx>
          <w:tblCellMar>
            <w:top w:w="0" w:type="dxa"/>
            <w:left w:w="108" w:type="dxa"/>
            <w:bottom w:w="0" w:type="dxa"/>
            <w:right w:w="108" w:type="dxa"/>
          </w:tblCellMar>
        </w:tblPrEx>
        <w:trPr>
          <w:jc w:val="center"/>
        </w:trPr>
        <w:tc>
          <w:tcPr>
            <w:tcW w:w="2765" w:type="dxa"/>
          </w:tcPr>
          <w:p w14:paraId="2E737744">
            <w:pPr>
              <w:jc w:val="center"/>
            </w:pPr>
            <w:r>
              <w:t>382</w:t>
            </w:r>
          </w:p>
        </w:tc>
        <w:tc>
          <w:tcPr>
            <w:tcW w:w="2765" w:type="dxa"/>
          </w:tcPr>
          <w:p w14:paraId="1F07908A">
            <w:pPr>
              <w:jc w:val="center"/>
            </w:pPr>
            <w:r>
              <w:t>360</w:t>
            </w:r>
          </w:p>
        </w:tc>
        <w:tc>
          <w:tcPr>
            <w:tcW w:w="2766" w:type="dxa"/>
          </w:tcPr>
          <w:p w14:paraId="0964929F">
            <w:pPr>
              <w:jc w:val="center"/>
            </w:pPr>
            <w:r>
              <w:t>120</w:t>
            </w:r>
          </w:p>
        </w:tc>
      </w:tr>
    </w:tbl>
    <w:p w14:paraId="20341310">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138927D1">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3970AD98">
      <w:pPr>
        <w:pStyle w:val="5"/>
        <w:numPr>
          <w:ilvl w:val="2"/>
          <w:numId w:val="4"/>
        </w:numPr>
      </w:pPr>
      <w:r>
        <w:rPr>
          <w:rFonts w:hint="eastAsia"/>
        </w:rPr>
        <w:t>过渡季工况风场计算域</w:t>
      </w:r>
    </w:p>
    <w:p w14:paraId="74FCA76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CBB6376">
        <w:tblPrEx>
          <w:tblCellMar>
            <w:top w:w="0" w:type="dxa"/>
            <w:left w:w="108" w:type="dxa"/>
            <w:bottom w:w="0" w:type="dxa"/>
            <w:right w:w="108" w:type="dxa"/>
          </w:tblCellMar>
        </w:tblPrEx>
        <w:trPr>
          <w:jc w:val="center"/>
        </w:trPr>
        <w:tc>
          <w:tcPr>
            <w:tcW w:w="2765" w:type="dxa"/>
          </w:tcPr>
          <w:p w14:paraId="1C01459C">
            <w:pPr>
              <w:jc w:val="center"/>
            </w:pPr>
            <w:r>
              <w:rPr>
                <w:rFonts w:hint="eastAsia"/>
              </w:rPr>
              <w:t>顺风方向尺寸（m）</w:t>
            </w:r>
          </w:p>
        </w:tc>
        <w:tc>
          <w:tcPr>
            <w:tcW w:w="2765" w:type="dxa"/>
          </w:tcPr>
          <w:p w14:paraId="13FE5ECD">
            <w:pPr>
              <w:jc w:val="center"/>
            </w:pPr>
            <w:r>
              <w:rPr>
                <w:rFonts w:hint="eastAsia"/>
              </w:rPr>
              <w:t>宽度方向尺寸（m）</w:t>
            </w:r>
          </w:p>
        </w:tc>
        <w:tc>
          <w:tcPr>
            <w:tcW w:w="2766" w:type="dxa"/>
          </w:tcPr>
          <w:p w14:paraId="61200CD0">
            <w:pPr>
              <w:jc w:val="center"/>
            </w:pPr>
            <w:r>
              <w:rPr>
                <w:rFonts w:hint="eastAsia"/>
              </w:rPr>
              <w:t>高度方向尺寸（m）</w:t>
            </w:r>
          </w:p>
        </w:tc>
      </w:tr>
      <w:tr w14:paraId="143DAE55">
        <w:tblPrEx>
          <w:tblCellMar>
            <w:top w:w="0" w:type="dxa"/>
            <w:left w:w="108" w:type="dxa"/>
            <w:bottom w:w="0" w:type="dxa"/>
            <w:right w:w="108" w:type="dxa"/>
          </w:tblCellMar>
        </w:tblPrEx>
        <w:trPr>
          <w:jc w:val="center"/>
        </w:trPr>
        <w:tc>
          <w:tcPr>
            <w:tcW w:w="2765" w:type="dxa"/>
          </w:tcPr>
          <w:p w14:paraId="652656E4">
            <w:pPr>
              <w:jc w:val="center"/>
            </w:pPr>
            <w:r>
              <w:t>382</w:t>
            </w:r>
          </w:p>
        </w:tc>
        <w:tc>
          <w:tcPr>
            <w:tcW w:w="2765" w:type="dxa"/>
          </w:tcPr>
          <w:p w14:paraId="2EE83A96">
            <w:pPr>
              <w:jc w:val="center"/>
            </w:pPr>
            <w:r>
              <w:t>360</w:t>
            </w:r>
          </w:p>
        </w:tc>
        <w:tc>
          <w:tcPr>
            <w:tcW w:w="2766" w:type="dxa"/>
          </w:tcPr>
          <w:p w14:paraId="0B8A5E5C">
            <w:pPr>
              <w:jc w:val="center"/>
            </w:pPr>
            <w:r>
              <w:t>120</w:t>
            </w:r>
          </w:p>
        </w:tc>
      </w:tr>
    </w:tbl>
    <w:p w14:paraId="2B941943">
      <w:pPr>
        <w:pStyle w:val="3"/>
        <w:ind w:firstLine="0" w:firstLineChars="0"/>
        <w:jc w:val="center"/>
        <w:rPr>
          <w:rFonts w:ascii="微软雅黑" w:hAnsi="微软雅黑" w:eastAsia="微软雅黑"/>
          <w:lang w:val="en-US"/>
        </w:rPr>
      </w:pPr>
      <w:r>
        <w:drawing>
          <wp:inline distT="0" distB="0" distL="0" distR="0">
            <wp:extent cx="5667375" cy="36099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7AA4E07B">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过渡季工况风场计算域图示</w:t>
      </w:r>
      <w:r>
        <w:rPr>
          <w:rFonts w:hint="eastAsia" w:ascii="微软雅黑" w:hAnsi="微软雅黑" w:eastAsia="微软雅黑"/>
          <w:sz w:val="18"/>
          <w:szCs w:val="18"/>
          <w:lang w:val="en-US"/>
        </w:rPr>
        <w:t xml:space="preserve"> </w:t>
      </w:r>
    </w:p>
    <w:p w14:paraId="65C28CAB">
      <w:pPr>
        <w:pStyle w:val="3"/>
        <w:ind w:firstLine="315" w:firstLineChars="150"/>
        <w:rPr>
          <w:rFonts w:hint="eastAsia" w:ascii="微软雅黑" w:hAnsi="微软雅黑" w:eastAsia="微软雅黑"/>
          <w:lang w:val="en-US"/>
        </w:rPr>
      </w:pPr>
      <w:bookmarkStart w:id="46" w:name="计算域"/>
      <w:bookmarkEnd w:id="46"/>
    </w:p>
    <w:p w14:paraId="7CD49ABB">
      <w:pPr>
        <w:pStyle w:val="3"/>
        <w:ind w:firstLine="360"/>
        <w:rPr>
          <w:rFonts w:hint="eastAsia"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4C4831A0">
      <w:pPr>
        <w:pStyle w:val="4"/>
        <w:rPr>
          <w:rFonts w:hint="eastAsia"/>
        </w:rPr>
      </w:pPr>
      <w:bookmarkStart w:id="47" w:name="_Toc509844741"/>
      <w:bookmarkStart w:id="48" w:name="_Toc29298"/>
      <w:r>
        <w:rPr>
          <w:rFonts w:hint="eastAsia"/>
        </w:rPr>
        <w:t>网格划分</w:t>
      </w:r>
      <w:bookmarkEnd w:id="47"/>
      <w:bookmarkEnd w:id="48"/>
    </w:p>
    <w:p w14:paraId="5A2F29F5">
      <w:pPr>
        <w:pStyle w:val="3"/>
        <w:ind w:firstLine="420"/>
        <w:rPr>
          <w:rFonts w:hint="eastAsia"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5CC3088">
      <w:pPr>
        <w:pStyle w:val="12"/>
        <w:spacing w:before="156"/>
        <w:ind w:left="426" w:firstLine="0"/>
        <w:rPr>
          <w:rFonts w:hint="eastAsia" w:ascii="微软雅黑"/>
        </w:rPr>
      </w:pPr>
      <w:r>
        <w:rPr>
          <w:rFonts w:hint="eastAsia" w:ascii="微软雅黑"/>
        </w:rPr>
        <w:t>1）一般网格：指除靠近地面和建筑以外的网格，通常不需要特别加密处理</w:t>
      </w:r>
    </w:p>
    <w:p w14:paraId="71062AEE">
      <w:pPr>
        <w:pStyle w:val="12"/>
        <w:numPr>
          <w:ilvl w:val="0"/>
          <w:numId w:val="4"/>
        </w:numPr>
        <w:spacing w:before="156"/>
        <w:rPr>
          <w:rFonts w:hint="eastAsia" w:ascii="微软雅黑"/>
        </w:rPr>
      </w:pPr>
      <w:r>
        <w:rPr>
          <w:rFonts w:hint="eastAsia" w:ascii="微软雅黑"/>
        </w:rPr>
        <w:t>分弧精度：对于有圆弧特征的建筑局部，把圆弧分解为线段时，弦到弧的最大距离；</w:t>
      </w:r>
    </w:p>
    <w:p w14:paraId="4104CF6D">
      <w:pPr>
        <w:numPr>
          <w:ilvl w:val="0"/>
          <w:numId w:val="4"/>
        </w:numPr>
        <w:adjustRightInd w:val="0"/>
        <w:spacing w:before="156" w:beforeLines="50" w:line="315" w:lineRule="atLeast"/>
        <w:jc w:val="both"/>
        <w:textAlignment w:val="baseline"/>
        <w:rPr>
          <w:rFonts w:hint="eastAsia"/>
          <w:lang w:val="en-US"/>
        </w:rPr>
      </w:pPr>
      <w:r>
        <w:rPr>
          <w:rFonts w:hint="eastAsia"/>
          <w:lang w:val="en-US"/>
        </w:rPr>
        <w:t>最大网格尺寸：计算域内最大网格的尺寸；</w:t>
      </w:r>
    </w:p>
    <w:p w14:paraId="4F105894">
      <w:pPr>
        <w:numPr>
          <w:ilvl w:val="0"/>
          <w:numId w:val="4"/>
        </w:numPr>
        <w:adjustRightInd w:val="0"/>
        <w:spacing w:before="156" w:beforeLines="50" w:line="315" w:lineRule="atLeast"/>
        <w:jc w:val="both"/>
        <w:textAlignment w:val="baseline"/>
        <w:rPr>
          <w:rFonts w:hint="eastAsia"/>
          <w:lang w:val="en-US"/>
        </w:rPr>
      </w:pPr>
      <w:r>
        <w:rPr>
          <w:rFonts w:hint="eastAsia"/>
          <w:lang w:val="en-US"/>
        </w:rPr>
        <w:t>最小网格尺寸：计算域内最小网格的尺寸；</w:t>
      </w:r>
    </w:p>
    <w:p w14:paraId="55D87730">
      <w:pPr>
        <w:numPr>
          <w:ilvl w:val="0"/>
          <w:numId w:val="4"/>
        </w:numPr>
        <w:adjustRightInd w:val="0"/>
        <w:spacing w:before="156" w:beforeLines="50"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4E048D4">
      <w:pPr>
        <w:pStyle w:val="12"/>
        <w:spacing w:before="156"/>
        <w:ind w:left="0" w:firstLine="315" w:firstLineChars="150"/>
        <w:rPr>
          <w:rFonts w:hint="eastAsia" w:ascii="微软雅黑"/>
        </w:rPr>
      </w:pPr>
      <w:r>
        <w:rPr>
          <w:rFonts w:hint="eastAsia" w:ascii="微软雅黑"/>
        </w:rPr>
        <w:t>2）地面网格</w:t>
      </w:r>
    </w:p>
    <w:p w14:paraId="7B5C82B0">
      <w:pPr>
        <w:pStyle w:val="12"/>
        <w:spacing w:before="156"/>
        <w:ind w:firstLine="315" w:firstLineChars="150"/>
        <w:rPr>
          <w:rFonts w:hint="eastAsia" w:ascii="微软雅黑"/>
        </w:rPr>
      </w:pPr>
      <w:r>
        <w:rPr>
          <w:rFonts w:hint="eastAsia" w:ascii="微软雅黑"/>
        </w:rPr>
        <w:t>靠近建筑物的区域称为近场，远离建筑物的区域称为远场。</w:t>
      </w:r>
    </w:p>
    <w:p w14:paraId="7197143B">
      <w:pPr>
        <w:pStyle w:val="12"/>
        <w:spacing w:before="156"/>
        <w:ind w:firstLine="315" w:firstLineChars="150"/>
        <w:rPr>
          <w:rFonts w:hint="eastAsia" w:ascii="微软雅黑"/>
        </w:rPr>
      </w:pPr>
      <w:r>
        <w:rPr>
          <w:rFonts w:hint="eastAsia" w:ascii="微软雅黑"/>
        </w:rPr>
        <w:t>近场的地面网格需要加密，对应地面细分级数较大；而远场地面对应网格较疏，地面细分级数较小。</w:t>
      </w:r>
    </w:p>
    <w:p w14:paraId="78EFFFCC">
      <w:pPr>
        <w:pStyle w:val="3"/>
        <w:ind w:firstLine="420"/>
        <w:rPr>
          <w:rFonts w:hint="eastAsia"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66565AF6">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D03FC18">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E1947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9FD482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5886D3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201B044C">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197AC61D">
            <w:pPr>
              <w:spacing w:line="400" w:lineRule="exact"/>
              <w:jc w:val="center"/>
              <w:rPr>
                <w:rFonts w:ascii="微软雅黑" w:hAnsi="微软雅黑" w:eastAsia="微软雅黑"/>
                <w:sz w:val="18"/>
                <w:szCs w:val="18"/>
                <w:lang w:val="en-US"/>
              </w:rPr>
            </w:pPr>
            <w:bookmarkStart w:id="49" w:name="冬季网格总数"/>
            <w:r>
              <w:t>212866</w:t>
            </w:r>
            <w:bookmarkEnd w:id="49"/>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BD7F8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D96E82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72F99874">
            <w:pPr>
              <w:spacing w:line="400" w:lineRule="exact"/>
              <w:jc w:val="center"/>
              <w:rPr>
                <w:rFonts w:ascii="微软雅黑" w:hAnsi="微软雅黑" w:eastAsia="微软雅黑"/>
                <w:sz w:val="18"/>
                <w:szCs w:val="18"/>
                <w:lang w:val="en-US"/>
              </w:rPr>
            </w:pPr>
            <w:bookmarkStart w:id="50" w:name="冬季分弧精度"/>
            <w:r>
              <w:t>0.24</w:t>
            </w:r>
            <w:bookmarkEnd w:id="50"/>
          </w:p>
        </w:tc>
      </w:tr>
      <w:tr w14:paraId="6150D64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6E23E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0DEFFB">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79E57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9CF1E37">
            <w:pPr>
              <w:spacing w:line="400" w:lineRule="exact"/>
              <w:jc w:val="center"/>
              <w:rPr>
                <w:rFonts w:ascii="微软雅黑" w:hAnsi="微软雅黑" w:eastAsia="微软雅黑"/>
                <w:sz w:val="18"/>
                <w:szCs w:val="18"/>
                <w:lang w:val="en-US"/>
              </w:rPr>
            </w:pPr>
            <w:bookmarkStart w:id="51" w:name="最大网格尺寸"/>
            <w:r>
              <w:t>16.0</w:t>
            </w:r>
            <w:bookmarkEnd w:id="51"/>
          </w:p>
        </w:tc>
      </w:tr>
      <w:tr w14:paraId="7E86B6A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5026DA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136CD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3D2DB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05F9581">
            <w:pPr>
              <w:spacing w:line="400" w:lineRule="exact"/>
              <w:jc w:val="center"/>
              <w:rPr>
                <w:rFonts w:ascii="微软雅黑" w:hAnsi="微软雅黑" w:eastAsia="微软雅黑"/>
                <w:sz w:val="18"/>
                <w:szCs w:val="18"/>
                <w:lang w:val="en-US"/>
              </w:rPr>
            </w:pPr>
            <w:bookmarkStart w:id="52" w:name="最小网格尺寸"/>
            <w:r>
              <w:t>4.0</w:t>
            </w:r>
            <w:bookmarkEnd w:id="52"/>
          </w:p>
        </w:tc>
      </w:tr>
      <w:tr w14:paraId="52BFF6F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093F04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C07E555">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56014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0CC2BF3">
            <w:pPr>
              <w:spacing w:line="400" w:lineRule="exact"/>
              <w:jc w:val="center"/>
              <w:rPr>
                <w:rFonts w:ascii="微软雅黑" w:hAnsi="微软雅黑" w:eastAsia="微软雅黑"/>
                <w:sz w:val="18"/>
                <w:szCs w:val="18"/>
                <w:lang w:val="en-US"/>
              </w:rPr>
            </w:pPr>
            <w:bookmarkStart w:id="53" w:name="建筑表面细分层厚度"/>
            <w:r>
              <w:t>4.0</w:t>
            </w:r>
            <w:bookmarkEnd w:id="53"/>
          </w:p>
        </w:tc>
      </w:tr>
      <w:tr w14:paraId="7564745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435ADB7">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F150D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EC77E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BB46735">
            <w:pPr>
              <w:spacing w:line="400" w:lineRule="exact"/>
              <w:jc w:val="center"/>
              <w:rPr>
                <w:rFonts w:ascii="微软雅黑" w:hAnsi="微软雅黑" w:eastAsia="微软雅黑"/>
                <w:sz w:val="18"/>
                <w:szCs w:val="18"/>
                <w:lang w:val="en-US"/>
              </w:rPr>
            </w:pPr>
            <w:bookmarkStart w:id="54" w:name="远场网格尺寸"/>
            <w:r>
              <w:t>8.0</w:t>
            </w:r>
            <w:bookmarkEnd w:id="54"/>
          </w:p>
        </w:tc>
      </w:tr>
      <w:tr w14:paraId="432CC5E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AD6023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A3BDA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5ED2D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2EE45F0">
            <w:pPr>
              <w:spacing w:line="400" w:lineRule="exact"/>
              <w:jc w:val="center"/>
              <w:rPr>
                <w:rFonts w:ascii="微软雅黑" w:hAnsi="微软雅黑" w:eastAsia="微软雅黑"/>
                <w:sz w:val="18"/>
                <w:szCs w:val="18"/>
                <w:lang w:val="en-US"/>
              </w:rPr>
            </w:pPr>
            <w:bookmarkStart w:id="55" w:name="近场网格尺寸"/>
            <w:r>
              <w:t>4.0</w:t>
            </w:r>
            <w:bookmarkEnd w:id="55"/>
          </w:p>
        </w:tc>
      </w:tr>
    </w:tbl>
    <w:p w14:paraId="33235222">
      <w:pPr>
        <w:rPr>
          <w:rFonts w:ascii="微软雅黑" w:hAnsi="微软雅黑" w:eastAsia="微软雅黑"/>
          <w:sz w:val="18"/>
          <w:szCs w:val="18"/>
          <w:lang w:val="en-US"/>
        </w:rPr>
      </w:pPr>
    </w:p>
    <w:p w14:paraId="7BB1F214">
      <w:pPr>
        <w:jc w:val="center"/>
      </w:pPr>
      <w:bookmarkStart w:id="56" w:name="网格图"/>
      <w:bookmarkEnd w:id="56"/>
      <w:r>
        <w:drawing>
          <wp:inline distT="0" distB="0" distL="0" distR="0">
            <wp:extent cx="5667375" cy="37052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0D41B10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7" w:name="季节"/>
      <w:r>
        <w:rPr>
          <w:rFonts w:hint="eastAsia"/>
          <w:sz w:val="18"/>
          <w:szCs w:val="18"/>
        </w:rPr>
        <w:t>冬季</w:t>
      </w:r>
      <w:bookmarkEnd w:id="57"/>
    </w:p>
    <w:p w14:paraId="228EB3D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7DA0DF8B">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417D75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9E73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2ABC01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CE0A17D">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3BF06AE9">
            <w:pPr>
              <w:spacing w:line="400" w:lineRule="exact"/>
              <w:jc w:val="center"/>
              <w:rPr>
                <w:rFonts w:ascii="微软雅黑" w:hAnsi="微软雅黑" w:eastAsia="微软雅黑"/>
                <w:sz w:val="18"/>
                <w:szCs w:val="18"/>
                <w:lang w:val="en-US"/>
              </w:rPr>
            </w:pPr>
            <w:r>
              <w:t>213089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5814C8">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84454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BBC9DCA">
            <w:pPr>
              <w:spacing w:line="400" w:lineRule="exact"/>
              <w:jc w:val="center"/>
              <w:rPr>
                <w:rFonts w:ascii="微软雅黑" w:hAnsi="微软雅黑" w:eastAsia="微软雅黑"/>
                <w:sz w:val="18"/>
                <w:szCs w:val="18"/>
                <w:lang w:val="en-US"/>
              </w:rPr>
            </w:pPr>
            <w:r>
              <w:t>0.24</w:t>
            </w:r>
          </w:p>
        </w:tc>
      </w:tr>
      <w:tr w14:paraId="6AFC3B7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849E643">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7EF65F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191FC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9B607DE">
            <w:pPr>
              <w:spacing w:line="400" w:lineRule="exact"/>
              <w:jc w:val="center"/>
              <w:rPr>
                <w:rFonts w:ascii="微软雅黑" w:hAnsi="微软雅黑" w:eastAsia="微软雅黑"/>
                <w:sz w:val="18"/>
                <w:szCs w:val="18"/>
                <w:lang w:val="en-US"/>
              </w:rPr>
            </w:pPr>
            <w:r>
              <w:t>16.0</w:t>
            </w:r>
          </w:p>
        </w:tc>
      </w:tr>
      <w:tr w14:paraId="0FA8463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8CC3B0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F4B41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A210D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1B56C55">
            <w:pPr>
              <w:spacing w:line="400" w:lineRule="exact"/>
              <w:jc w:val="center"/>
              <w:rPr>
                <w:rFonts w:ascii="微软雅黑" w:hAnsi="微软雅黑" w:eastAsia="微软雅黑"/>
                <w:sz w:val="18"/>
                <w:szCs w:val="18"/>
                <w:lang w:val="en-US"/>
              </w:rPr>
            </w:pPr>
            <w:r>
              <w:t>4.0</w:t>
            </w:r>
          </w:p>
        </w:tc>
      </w:tr>
      <w:tr w14:paraId="4621415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CE2A384">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8942F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C9F31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0ECA38A">
            <w:pPr>
              <w:spacing w:line="400" w:lineRule="exact"/>
              <w:jc w:val="center"/>
              <w:rPr>
                <w:rFonts w:ascii="微软雅黑" w:hAnsi="微软雅黑" w:eastAsia="微软雅黑"/>
                <w:sz w:val="18"/>
                <w:szCs w:val="18"/>
                <w:lang w:val="en-US"/>
              </w:rPr>
            </w:pPr>
            <w:r>
              <w:t>4.0</w:t>
            </w:r>
          </w:p>
        </w:tc>
      </w:tr>
      <w:tr w14:paraId="000CE61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7ECD478">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6A4DD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D3D18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8D9870D">
            <w:pPr>
              <w:spacing w:line="400" w:lineRule="exact"/>
              <w:jc w:val="center"/>
              <w:rPr>
                <w:rFonts w:ascii="微软雅黑" w:hAnsi="微软雅黑" w:eastAsia="微软雅黑"/>
                <w:sz w:val="18"/>
                <w:szCs w:val="18"/>
                <w:lang w:val="en-US"/>
              </w:rPr>
            </w:pPr>
            <w:r>
              <w:t>8.0</w:t>
            </w:r>
          </w:p>
        </w:tc>
      </w:tr>
      <w:tr w14:paraId="220DB20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2F9110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16192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ED821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D2A2F29">
            <w:pPr>
              <w:spacing w:line="400" w:lineRule="exact"/>
              <w:jc w:val="center"/>
              <w:rPr>
                <w:rFonts w:ascii="微软雅黑" w:hAnsi="微软雅黑" w:eastAsia="微软雅黑"/>
                <w:sz w:val="18"/>
                <w:szCs w:val="18"/>
                <w:lang w:val="en-US"/>
              </w:rPr>
            </w:pPr>
            <w:r>
              <w:t>4.0</w:t>
            </w:r>
          </w:p>
        </w:tc>
      </w:tr>
    </w:tbl>
    <w:p w14:paraId="5DE2CD8F">
      <w:pPr>
        <w:rPr>
          <w:rFonts w:ascii="微软雅黑" w:hAnsi="微软雅黑" w:eastAsia="微软雅黑"/>
          <w:sz w:val="18"/>
          <w:szCs w:val="18"/>
          <w:lang w:val="en-US"/>
        </w:rPr>
      </w:pPr>
    </w:p>
    <w:p w14:paraId="434F30FE">
      <w:pPr>
        <w:jc w:val="center"/>
      </w:pPr>
      <w:r>
        <w:drawing>
          <wp:inline distT="0" distB="0" distL="0" distR="0">
            <wp:extent cx="5667375" cy="3705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56D3A50">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B50D60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38B499C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EB063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3A0335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E1D2A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0C43A23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619D6FBF">
            <w:pPr>
              <w:spacing w:line="400" w:lineRule="exact"/>
              <w:jc w:val="center"/>
              <w:rPr>
                <w:rFonts w:ascii="微软雅黑" w:hAnsi="微软雅黑" w:eastAsia="微软雅黑"/>
                <w:sz w:val="18"/>
                <w:szCs w:val="18"/>
                <w:lang w:val="en-US"/>
              </w:rPr>
            </w:pPr>
            <w:r>
              <w:t>212866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AE6B8E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76ACD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9780325">
            <w:pPr>
              <w:spacing w:line="400" w:lineRule="exact"/>
              <w:jc w:val="center"/>
              <w:rPr>
                <w:rFonts w:ascii="微软雅黑" w:hAnsi="微软雅黑" w:eastAsia="微软雅黑"/>
                <w:sz w:val="18"/>
                <w:szCs w:val="18"/>
                <w:lang w:val="en-US"/>
              </w:rPr>
            </w:pPr>
            <w:r>
              <w:t>0.24</w:t>
            </w:r>
          </w:p>
        </w:tc>
      </w:tr>
      <w:tr w14:paraId="0AFABB7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328F10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D00DFA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3275B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C6A7F2">
            <w:pPr>
              <w:spacing w:line="400" w:lineRule="exact"/>
              <w:jc w:val="center"/>
              <w:rPr>
                <w:rFonts w:ascii="微软雅黑" w:hAnsi="微软雅黑" w:eastAsia="微软雅黑"/>
                <w:sz w:val="18"/>
                <w:szCs w:val="18"/>
                <w:lang w:val="en-US"/>
              </w:rPr>
            </w:pPr>
            <w:r>
              <w:t>16.0</w:t>
            </w:r>
          </w:p>
        </w:tc>
      </w:tr>
      <w:tr w14:paraId="49AF8F2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19481E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29A0CA">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54CCFE">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08523D3">
            <w:pPr>
              <w:spacing w:line="400" w:lineRule="exact"/>
              <w:jc w:val="center"/>
              <w:rPr>
                <w:rFonts w:ascii="微软雅黑" w:hAnsi="微软雅黑" w:eastAsia="微软雅黑"/>
                <w:sz w:val="18"/>
                <w:szCs w:val="18"/>
                <w:lang w:val="en-US"/>
              </w:rPr>
            </w:pPr>
            <w:r>
              <w:t>4.0</w:t>
            </w:r>
          </w:p>
        </w:tc>
      </w:tr>
      <w:tr w14:paraId="19E52D4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3508AEC">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BB462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BC227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708ECCF">
            <w:pPr>
              <w:spacing w:line="400" w:lineRule="exact"/>
              <w:jc w:val="center"/>
              <w:rPr>
                <w:rFonts w:ascii="微软雅黑" w:hAnsi="微软雅黑" w:eastAsia="微软雅黑"/>
                <w:sz w:val="18"/>
                <w:szCs w:val="18"/>
                <w:lang w:val="en-US"/>
              </w:rPr>
            </w:pPr>
            <w:r>
              <w:t>4.0</w:t>
            </w:r>
          </w:p>
        </w:tc>
      </w:tr>
      <w:tr w14:paraId="18338F6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DA1B6A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6EDF72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27E1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3584372">
            <w:pPr>
              <w:spacing w:line="400" w:lineRule="exact"/>
              <w:jc w:val="center"/>
              <w:rPr>
                <w:rFonts w:ascii="微软雅黑" w:hAnsi="微软雅黑" w:eastAsia="微软雅黑"/>
                <w:sz w:val="18"/>
                <w:szCs w:val="18"/>
                <w:lang w:val="en-US"/>
              </w:rPr>
            </w:pPr>
            <w:r>
              <w:t>8.0</w:t>
            </w:r>
            <w:bookmarkEnd w:id="9"/>
          </w:p>
        </w:tc>
      </w:tr>
      <w:tr w14:paraId="534A12E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64AAB4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0D140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614420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61DF89E">
            <w:pPr>
              <w:spacing w:line="400" w:lineRule="exact"/>
              <w:jc w:val="center"/>
              <w:rPr>
                <w:rFonts w:ascii="微软雅黑" w:hAnsi="微软雅黑" w:eastAsia="微软雅黑"/>
                <w:sz w:val="18"/>
                <w:szCs w:val="18"/>
                <w:lang w:val="en-US"/>
              </w:rPr>
            </w:pPr>
            <w:r>
              <w:t>4.0</w:t>
            </w:r>
          </w:p>
        </w:tc>
      </w:tr>
    </w:tbl>
    <w:p w14:paraId="6DF1B3BB">
      <w:pPr>
        <w:rPr>
          <w:rFonts w:ascii="微软雅黑" w:hAnsi="微软雅黑" w:eastAsia="微软雅黑"/>
          <w:sz w:val="18"/>
          <w:szCs w:val="18"/>
          <w:lang w:val="en-US"/>
        </w:rPr>
      </w:pPr>
    </w:p>
    <w:p w14:paraId="01A6BA2E">
      <w:pPr>
        <w:jc w:val="center"/>
      </w:pPr>
      <w:r>
        <w:drawing>
          <wp:inline distT="0" distB="0" distL="0" distR="0">
            <wp:extent cx="5667375" cy="3705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1FAED7D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4D0D907">
      <w:pPr>
        <w:pStyle w:val="3"/>
        <w:ind w:firstLine="420"/>
        <w:rPr>
          <w:rFonts w:hint="eastAsia" w:ascii="微软雅黑" w:hAnsi="微软雅黑" w:eastAsia="微软雅黑"/>
          <w:szCs w:val="20"/>
          <w:lang w:val="en-US"/>
        </w:rPr>
      </w:pPr>
      <w:bookmarkStart w:id="58" w:name="网格划分信息"/>
      <w:bookmarkEnd w:id="58"/>
      <w:r>
        <w:rPr>
          <w:rFonts w:hint="eastAsia" w:ascii="微软雅黑" w:hAnsi="微软雅黑" w:eastAsia="微软雅黑"/>
          <w:szCs w:val="20"/>
          <w:lang w:val="en-US"/>
        </w:rPr>
        <w:t>注：前述计算域随风向不同，所以相同的网格方案会产生不同的网格数量。</w:t>
      </w:r>
    </w:p>
    <w:bookmarkEnd w:id="44"/>
    <w:p w14:paraId="6BB9E9EA">
      <w:pPr>
        <w:pStyle w:val="3"/>
        <w:ind w:firstLine="0" w:firstLineChars="0"/>
        <w:rPr>
          <w:rFonts w:hint="eastAsia" w:ascii="微软雅黑" w:hAnsi="微软雅黑" w:eastAsia="微软雅黑"/>
          <w:szCs w:val="20"/>
          <w:lang w:val="en-US"/>
        </w:rPr>
      </w:pPr>
    </w:p>
    <w:p w14:paraId="6DD4302C">
      <w:pPr>
        <w:pStyle w:val="4"/>
        <w:numPr>
          <w:ilvl w:val="1"/>
          <w:numId w:val="3"/>
        </w:numPr>
        <w:rPr>
          <w:rFonts w:hint="eastAsia"/>
        </w:rPr>
      </w:pPr>
      <w:bookmarkStart w:id="59" w:name="_Toc509844742"/>
      <w:bookmarkStart w:id="60" w:name="_Toc10006"/>
      <w:r>
        <w:rPr>
          <w:rFonts w:hint="eastAsia"/>
        </w:rPr>
        <w:t>边界条件</w:t>
      </w:r>
      <w:bookmarkEnd w:id="59"/>
      <w:bookmarkEnd w:id="60"/>
    </w:p>
    <w:p w14:paraId="6CA59154">
      <w:pPr>
        <w:rPr>
          <w:rFonts w:hint="eastAsia"/>
        </w:rPr>
      </w:pPr>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6DBFF70C">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F38B557">
      <w:pPr>
        <w:pStyle w:val="3"/>
        <w:ind w:firstLine="420"/>
        <w:rPr>
          <w:rFonts w:hint="eastAsia"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6324921F">
      <w:pPr>
        <w:pStyle w:val="5"/>
        <w:rPr>
          <w:rFonts w:hint="eastAsia"/>
        </w:rPr>
      </w:pPr>
      <w:bookmarkStart w:id="61" w:name="_Toc509844743"/>
      <w:r>
        <w:rPr>
          <w:rFonts w:hint="eastAsia"/>
        </w:rPr>
        <w:t>入口与出口边界条件</w:t>
      </w:r>
      <w:bookmarkEnd w:id="61"/>
    </w:p>
    <w:p w14:paraId="2BDF92B3">
      <w:pPr>
        <w:rPr>
          <w:rFonts w:hint="eastAsia"/>
        </w:rPr>
      </w:pPr>
      <w:r>
        <w:rPr>
          <w:rFonts w:hint="eastAsia"/>
        </w:rPr>
        <w:t>1）入口风速梯度</w:t>
      </w:r>
    </w:p>
    <w:p w14:paraId="4D218532">
      <w:pPr>
        <w:pStyle w:val="3"/>
        <w:ind w:firstLine="420"/>
        <w:rPr>
          <w:rFonts w:hint="eastAsia"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78EDD889">
      <w:pPr>
        <w:pStyle w:val="3"/>
        <w:ind w:firstLine="420"/>
        <w:jc w:val="right"/>
        <w:rPr>
          <w:rFonts w:hint="eastAsia" w:ascii="微软雅黑" w:hAnsi="微软雅黑" w:eastAsia="微软雅黑"/>
          <w:lang w:val="en-US"/>
        </w:rPr>
      </w:pPr>
      <w:r>
        <w:rPr>
          <w:rFonts w:ascii="微软雅黑" w:hAnsi="微软雅黑" w:eastAsia="微软雅黑"/>
          <w:position w:val="-32"/>
          <w:lang w:val="en-US"/>
        </w:rPr>
        <w:object>
          <v:shape id="_x0000_i1025" o:spt="75" type="#_x0000_t75" style="height:41.45pt;width:71.3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D6828CE">
      <w:pPr>
        <w:pStyle w:val="3"/>
        <w:ind w:firstLine="420"/>
        <w:rPr>
          <w:rFonts w:hint="eastAsia" w:ascii="微软雅黑" w:hAnsi="微软雅黑" w:eastAsia="微软雅黑"/>
          <w:lang w:val="en-US"/>
        </w:rPr>
      </w:pPr>
      <w:r>
        <w:rPr>
          <w:rFonts w:hint="eastAsia" w:ascii="微软雅黑" w:hAnsi="微软雅黑" w:eastAsia="微软雅黑"/>
          <w:lang w:val="en-US"/>
        </w:rPr>
        <w:t>式中：</w:t>
      </w:r>
    </w:p>
    <w:p w14:paraId="6E160F0B">
      <w:pPr>
        <w:pStyle w:val="3"/>
        <w:ind w:firstLine="0" w:firstLineChars="0"/>
        <w:rPr>
          <w:rFonts w:hint="eastAsia"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78596BE">
      <w:pPr>
        <w:pStyle w:val="3"/>
        <w:ind w:firstLine="0" w:firstLineChars="0"/>
        <w:rPr>
          <w:rFonts w:hint="eastAsia" w:ascii="微软雅黑" w:hAnsi="微软雅黑" w:eastAsia="微软雅黑"/>
          <w:lang w:val="en-US"/>
        </w:rPr>
      </w:pPr>
      <w:r>
        <w:rPr>
          <w:rFonts w:ascii="微软雅黑" w:hAnsi="微软雅黑" w:eastAsia="微软雅黑"/>
          <w:lang w:val="en-US"/>
        </w:rPr>
        <w:object>
          <v:shape id="_x0000_i1026" o:spt="75" type="#_x0000_t75" style="height:19pt;width:14.9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9pt;width:13.6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34276C3">
      <w:pPr>
        <w:pStyle w:val="3"/>
        <w:spacing w:after="156" w:afterLines="50"/>
        <w:ind w:firstLine="0" w:firstLineChars="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62" w:name="地面粗糙度指数2"/>
      <w:r>
        <w:rPr>
          <w:rFonts w:hint="eastAsia" w:ascii="微软雅黑" w:hAnsi="微软雅黑" w:eastAsia="微软雅黑"/>
          <w:lang w:val="en-US"/>
        </w:rPr>
        <w:t>0.22</w:t>
      </w:r>
      <w:bookmarkEnd w:id="62"/>
      <w:r>
        <w:rPr>
          <w:rFonts w:hint="eastAsia" w:ascii="微软雅黑" w:hAnsi="微软雅黑" w:eastAsia="微软雅黑"/>
          <w:lang w:val="en-US"/>
        </w:rPr>
        <w:t>；</w:t>
      </w:r>
    </w:p>
    <w:p w14:paraId="2347FA08">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风速梯度分布幂指函数参考值</w:t>
      </w:r>
    </w:p>
    <w:tbl>
      <w:tblPr>
        <w:tblStyle w:val="21"/>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134"/>
        <w:gridCol w:w="3685"/>
        <w:gridCol w:w="684"/>
        <w:gridCol w:w="1551"/>
      </w:tblGrid>
      <w:tr w14:paraId="7F5A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18" w:type="dxa"/>
            <w:shd w:val="clear" w:color="auto" w:fill="D0CECE" w:themeFill="background2" w:themeFillShade="E6"/>
            <w:vAlign w:val="center"/>
          </w:tcPr>
          <w:p w14:paraId="1862B63D">
            <w:pPr>
              <w:jc w:val="center"/>
              <w:rPr>
                <w:rFonts w:hint="eastAsia" w:cs="宋体"/>
                <w:b/>
                <w:bCs/>
                <w:sz w:val="18"/>
                <w:szCs w:val="18"/>
              </w:rPr>
            </w:pPr>
            <w:r>
              <w:rPr>
                <w:rFonts w:hint="eastAsia" w:cs="宋体"/>
                <w:b/>
                <w:bCs/>
                <w:sz w:val="18"/>
                <w:szCs w:val="18"/>
              </w:rPr>
              <w:t>参考标准</w:t>
            </w:r>
          </w:p>
        </w:tc>
        <w:tc>
          <w:tcPr>
            <w:tcW w:w="1134" w:type="dxa"/>
            <w:shd w:val="clear" w:color="auto" w:fill="D0CECE" w:themeFill="background2" w:themeFillShade="E6"/>
            <w:vAlign w:val="center"/>
          </w:tcPr>
          <w:p w14:paraId="00A45294">
            <w:pPr>
              <w:jc w:val="center"/>
              <w:rPr>
                <w:rFonts w:hint="eastAsia" w:cs="宋体"/>
                <w:b/>
                <w:bCs/>
                <w:sz w:val="18"/>
                <w:szCs w:val="18"/>
              </w:rPr>
            </w:pPr>
            <w:r>
              <w:rPr>
                <w:rFonts w:hint="eastAsia" w:cs="宋体"/>
                <w:b/>
                <w:bCs/>
                <w:sz w:val="18"/>
                <w:szCs w:val="18"/>
              </w:rPr>
              <w:t>地面类型</w:t>
            </w:r>
          </w:p>
        </w:tc>
        <w:tc>
          <w:tcPr>
            <w:tcW w:w="3685" w:type="dxa"/>
            <w:shd w:val="clear" w:color="auto" w:fill="D0CECE" w:themeFill="background2" w:themeFillShade="E6"/>
            <w:vAlign w:val="center"/>
          </w:tcPr>
          <w:p w14:paraId="574F57CF">
            <w:pPr>
              <w:jc w:val="center"/>
              <w:rPr>
                <w:rFonts w:hint="eastAsia"/>
              </w:rPr>
            </w:pPr>
            <w:r>
              <w:rPr>
                <w:rFonts w:hint="eastAsia" w:cs="宋体"/>
                <w:b/>
                <w:bCs/>
                <w:sz w:val="18"/>
                <w:szCs w:val="18"/>
              </w:rPr>
              <w:t>适用区域</w:t>
            </w:r>
          </w:p>
        </w:tc>
        <w:tc>
          <w:tcPr>
            <w:tcW w:w="684" w:type="dxa"/>
            <w:shd w:val="clear" w:color="auto" w:fill="D0CECE" w:themeFill="background2" w:themeFillShade="E6"/>
          </w:tcPr>
          <w:p w14:paraId="4CD210EA">
            <w:pPr>
              <w:jc w:val="center"/>
              <w:rPr>
                <w:rFonts w:hint="eastAsia" w:cs="宋体"/>
                <w:b/>
                <w:bCs/>
                <w:sz w:val="18"/>
                <w:szCs w:val="18"/>
              </w:rPr>
            </w:pPr>
            <w:r>
              <w:rPr>
                <w:rFonts w:hint="eastAsia" w:cs="宋体"/>
                <w:b/>
                <w:bCs/>
                <w:sz w:val="18"/>
                <w:szCs w:val="18"/>
              </w:rPr>
              <w:t>α</w:t>
            </w:r>
          </w:p>
        </w:tc>
        <w:tc>
          <w:tcPr>
            <w:tcW w:w="1551" w:type="dxa"/>
            <w:shd w:val="clear" w:color="auto" w:fill="D0CECE" w:themeFill="background2" w:themeFillShade="E6"/>
          </w:tcPr>
          <w:p w14:paraId="71F9885A">
            <w:pPr>
              <w:jc w:val="center"/>
              <w:rPr>
                <w:rFonts w:hint="eastAsia" w:cs="宋体"/>
                <w:b/>
                <w:bCs/>
                <w:sz w:val="18"/>
                <w:szCs w:val="18"/>
              </w:rPr>
            </w:pPr>
            <w:r>
              <w:rPr>
                <w:rFonts w:hint="eastAsia" w:cs="宋体"/>
                <w:b/>
                <w:bCs/>
                <w:sz w:val="18"/>
                <w:szCs w:val="18"/>
              </w:rPr>
              <w:t>梯度风高度(m）</w:t>
            </w:r>
          </w:p>
        </w:tc>
      </w:tr>
      <w:tr w14:paraId="4923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restart"/>
            <w:vAlign w:val="center"/>
          </w:tcPr>
          <w:p w14:paraId="260FDA69">
            <w:pPr>
              <w:jc w:val="center"/>
              <w:rPr>
                <w:rFonts w:hint="eastAsia" w:cs="宋体"/>
                <w:b/>
                <w:sz w:val="18"/>
                <w:szCs w:val="18"/>
              </w:rPr>
            </w:pPr>
            <w:r>
              <w:rPr>
                <w:rFonts w:hint="eastAsia"/>
                <w:sz w:val="18"/>
                <w:szCs w:val="18"/>
              </w:rPr>
              <w:t>《绿色建筑评价技术细则》</w:t>
            </w:r>
          </w:p>
        </w:tc>
        <w:tc>
          <w:tcPr>
            <w:tcW w:w="1134" w:type="dxa"/>
            <w:vAlign w:val="center"/>
          </w:tcPr>
          <w:p w14:paraId="4F1A3E11">
            <w:pPr>
              <w:jc w:val="center"/>
              <w:rPr>
                <w:rFonts w:hint="eastAsia" w:cs="宋体"/>
                <w:sz w:val="18"/>
                <w:szCs w:val="18"/>
              </w:rPr>
            </w:pPr>
            <w:r>
              <w:rPr>
                <w:rFonts w:hint="eastAsia" w:cs="宋体"/>
                <w:sz w:val="18"/>
                <w:szCs w:val="18"/>
              </w:rPr>
              <w:t>A</w:t>
            </w:r>
          </w:p>
        </w:tc>
        <w:tc>
          <w:tcPr>
            <w:tcW w:w="3685" w:type="dxa"/>
          </w:tcPr>
          <w:p w14:paraId="12ADEF2C">
            <w:pPr>
              <w:spacing w:line="360" w:lineRule="exact"/>
              <w:rPr>
                <w:rFonts w:hint="eastAsia"/>
              </w:rPr>
            </w:pPr>
            <w:r>
              <w:rPr>
                <w:rFonts w:hint="eastAsia"/>
              </w:rPr>
              <w:t>近海地区、湖岸，沙漠地区</w:t>
            </w:r>
          </w:p>
        </w:tc>
        <w:tc>
          <w:tcPr>
            <w:tcW w:w="684" w:type="dxa"/>
            <w:vAlign w:val="center"/>
          </w:tcPr>
          <w:p w14:paraId="239AB5F0">
            <w:pPr>
              <w:spacing w:line="360" w:lineRule="exact"/>
              <w:jc w:val="center"/>
              <w:rPr>
                <w:rFonts w:hint="eastAsia"/>
              </w:rPr>
            </w:pPr>
            <w:r>
              <w:rPr>
                <w:rFonts w:hint="eastAsia"/>
              </w:rPr>
              <w:t>0.12</w:t>
            </w:r>
          </w:p>
        </w:tc>
        <w:tc>
          <w:tcPr>
            <w:tcW w:w="1551" w:type="dxa"/>
            <w:vAlign w:val="center"/>
          </w:tcPr>
          <w:p w14:paraId="39EF11AB">
            <w:pPr>
              <w:spacing w:line="360" w:lineRule="exact"/>
              <w:jc w:val="center"/>
              <w:rPr>
                <w:rFonts w:hint="eastAsia"/>
              </w:rPr>
            </w:pPr>
            <w:r>
              <w:rPr>
                <w:rFonts w:hint="eastAsia"/>
              </w:rPr>
              <w:t>300</w:t>
            </w:r>
          </w:p>
        </w:tc>
      </w:tr>
      <w:tr w14:paraId="0F67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8EB774A">
            <w:pPr>
              <w:jc w:val="center"/>
              <w:rPr>
                <w:rFonts w:hint="eastAsia" w:cs="宋体"/>
                <w:b/>
                <w:sz w:val="18"/>
                <w:szCs w:val="18"/>
              </w:rPr>
            </w:pPr>
          </w:p>
        </w:tc>
        <w:tc>
          <w:tcPr>
            <w:tcW w:w="1134" w:type="dxa"/>
            <w:vAlign w:val="center"/>
          </w:tcPr>
          <w:p w14:paraId="6DEB4C0C">
            <w:pPr>
              <w:jc w:val="center"/>
              <w:rPr>
                <w:rFonts w:hint="eastAsia" w:cs="宋体"/>
                <w:sz w:val="18"/>
                <w:szCs w:val="18"/>
              </w:rPr>
            </w:pPr>
            <w:r>
              <w:rPr>
                <w:rFonts w:hint="eastAsia" w:cs="宋体"/>
                <w:sz w:val="18"/>
                <w:szCs w:val="18"/>
              </w:rPr>
              <w:t>B</w:t>
            </w:r>
          </w:p>
        </w:tc>
        <w:tc>
          <w:tcPr>
            <w:tcW w:w="3685" w:type="dxa"/>
          </w:tcPr>
          <w:p w14:paraId="17395DA0">
            <w:pPr>
              <w:spacing w:line="360" w:lineRule="exact"/>
              <w:rPr>
                <w:rFonts w:hint="eastAsia"/>
              </w:rPr>
            </w:pPr>
            <w:r>
              <w:rPr>
                <w:rFonts w:hint="eastAsia"/>
              </w:rPr>
              <w:t>田野、丘陵及中小城市、大城市郊区</w:t>
            </w:r>
          </w:p>
        </w:tc>
        <w:tc>
          <w:tcPr>
            <w:tcW w:w="684" w:type="dxa"/>
            <w:vAlign w:val="center"/>
          </w:tcPr>
          <w:p w14:paraId="496663A5">
            <w:pPr>
              <w:spacing w:line="360" w:lineRule="exact"/>
              <w:jc w:val="center"/>
              <w:rPr>
                <w:rFonts w:hint="eastAsia"/>
              </w:rPr>
            </w:pPr>
            <w:r>
              <w:rPr>
                <w:rFonts w:hint="eastAsia"/>
              </w:rPr>
              <w:t>0.16</w:t>
            </w:r>
          </w:p>
        </w:tc>
        <w:tc>
          <w:tcPr>
            <w:tcW w:w="1551" w:type="dxa"/>
            <w:vAlign w:val="center"/>
          </w:tcPr>
          <w:p w14:paraId="5A89EA5A">
            <w:pPr>
              <w:spacing w:line="360" w:lineRule="exact"/>
              <w:jc w:val="center"/>
              <w:rPr>
                <w:rFonts w:hint="eastAsia"/>
              </w:rPr>
            </w:pPr>
            <w:r>
              <w:rPr>
                <w:rFonts w:hint="eastAsia"/>
              </w:rPr>
              <w:t>350</w:t>
            </w:r>
          </w:p>
        </w:tc>
      </w:tr>
      <w:tr w14:paraId="49DA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1C4DE2FE">
            <w:pPr>
              <w:jc w:val="center"/>
              <w:rPr>
                <w:rFonts w:hint="eastAsia" w:cs="宋体"/>
                <w:b/>
                <w:sz w:val="18"/>
                <w:szCs w:val="18"/>
              </w:rPr>
            </w:pPr>
          </w:p>
        </w:tc>
        <w:tc>
          <w:tcPr>
            <w:tcW w:w="1134" w:type="dxa"/>
            <w:vAlign w:val="center"/>
          </w:tcPr>
          <w:p w14:paraId="3443F6C4">
            <w:pPr>
              <w:jc w:val="center"/>
              <w:rPr>
                <w:rFonts w:hint="eastAsia" w:cs="宋体"/>
                <w:sz w:val="18"/>
                <w:szCs w:val="18"/>
              </w:rPr>
            </w:pPr>
            <w:r>
              <w:rPr>
                <w:rFonts w:hint="eastAsia" w:cs="宋体"/>
                <w:sz w:val="18"/>
                <w:szCs w:val="18"/>
              </w:rPr>
              <w:t>C</w:t>
            </w:r>
          </w:p>
        </w:tc>
        <w:tc>
          <w:tcPr>
            <w:tcW w:w="3685" w:type="dxa"/>
          </w:tcPr>
          <w:p w14:paraId="4E49E0A4">
            <w:pPr>
              <w:spacing w:line="360" w:lineRule="exact"/>
              <w:rPr>
                <w:rFonts w:hint="eastAsia"/>
              </w:rPr>
            </w:pPr>
            <w:r>
              <w:rPr>
                <w:rFonts w:hint="eastAsia"/>
              </w:rPr>
              <w:t>有密集建筑的大城市市区</w:t>
            </w:r>
          </w:p>
        </w:tc>
        <w:tc>
          <w:tcPr>
            <w:tcW w:w="684" w:type="dxa"/>
            <w:vAlign w:val="center"/>
          </w:tcPr>
          <w:p w14:paraId="0F6AC658">
            <w:pPr>
              <w:spacing w:line="360" w:lineRule="exact"/>
              <w:jc w:val="center"/>
              <w:rPr>
                <w:rFonts w:hint="eastAsia"/>
              </w:rPr>
            </w:pPr>
            <w:r>
              <w:rPr>
                <w:rFonts w:hint="eastAsia"/>
              </w:rPr>
              <w:t>0.22</w:t>
            </w:r>
          </w:p>
        </w:tc>
        <w:tc>
          <w:tcPr>
            <w:tcW w:w="1551" w:type="dxa"/>
            <w:vAlign w:val="center"/>
          </w:tcPr>
          <w:p w14:paraId="21453035">
            <w:pPr>
              <w:spacing w:line="360" w:lineRule="exact"/>
              <w:jc w:val="center"/>
              <w:rPr>
                <w:rFonts w:hint="eastAsia"/>
              </w:rPr>
            </w:pPr>
            <w:r>
              <w:rPr>
                <w:rFonts w:hint="eastAsia"/>
              </w:rPr>
              <w:t>400</w:t>
            </w:r>
          </w:p>
        </w:tc>
      </w:tr>
      <w:tr w14:paraId="2445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18" w:type="dxa"/>
            <w:vMerge w:val="continue"/>
            <w:vAlign w:val="center"/>
          </w:tcPr>
          <w:p w14:paraId="63CDE62B">
            <w:pPr>
              <w:jc w:val="center"/>
              <w:rPr>
                <w:rFonts w:hint="eastAsia" w:cs="宋体"/>
                <w:b/>
                <w:sz w:val="18"/>
                <w:szCs w:val="18"/>
              </w:rPr>
            </w:pPr>
          </w:p>
        </w:tc>
        <w:tc>
          <w:tcPr>
            <w:tcW w:w="1134" w:type="dxa"/>
            <w:vAlign w:val="center"/>
          </w:tcPr>
          <w:p w14:paraId="1D186FC2">
            <w:pPr>
              <w:jc w:val="center"/>
              <w:rPr>
                <w:rFonts w:hint="eastAsia" w:cs="宋体"/>
                <w:sz w:val="18"/>
                <w:szCs w:val="18"/>
              </w:rPr>
            </w:pPr>
            <w:r>
              <w:rPr>
                <w:rFonts w:hint="eastAsia" w:cs="宋体"/>
                <w:sz w:val="18"/>
                <w:szCs w:val="18"/>
              </w:rPr>
              <w:t>D</w:t>
            </w:r>
          </w:p>
        </w:tc>
        <w:tc>
          <w:tcPr>
            <w:tcW w:w="3685" w:type="dxa"/>
          </w:tcPr>
          <w:p w14:paraId="2B7B44BF">
            <w:pPr>
              <w:spacing w:line="360" w:lineRule="exact"/>
            </w:pPr>
            <w:r>
              <w:rPr>
                <w:rFonts w:hint="eastAsia"/>
              </w:rPr>
              <w:t>有密集建筑群且房屋较高的城市市区</w:t>
            </w:r>
          </w:p>
        </w:tc>
        <w:tc>
          <w:tcPr>
            <w:tcW w:w="684" w:type="dxa"/>
            <w:vAlign w:val="center"/>
          </w:tcPr>
          <w:p w14:paraId="0AAB322E">
            <w:pPr>
              <w:spacing w:line="360" w:lineRule="exact"/>
              <w:jc w:val="center"/>
              <w:rPr>
                <w:rFonts w:hint="eastAsia"/>
              </w:rPr>
            </w:pPr>
            <w:r>
              <w:rPr>
                <w:rFonts w:hint="eastAsia"/>
              </w:rPr>
              <w:t>0.30</w:t>
            </w:r>
          </w:p>
        </w:tc>
        <w:tc>
          <w:tcPr>
            <w:tcW w:w="1551" w:type="dxa"/>
            <w:vAlign w:val="center"/>
          </w:tcPr>
          <w:p w14:paraId="6BBB38BE">
            <w:pPr>
              <w:spacing w:line="360" w:lineRule="exact"/>
              <w:jc w:val="center"/>
            </w:pPr>
            <w:r>
              <w:rPr>
                <w:rFonts w:hint="eastAsia"/>
              </w:rPr>
              <w:t>450</w:t>
            </w:r>
          </w:p>
        </w:tc>
      </w:tr>
    </w:tbl>
    <w:p w14:paraId="2F0BCE81">
      <w:pPr>
        <w:spacing w:before="156" w:beforeLines="50"/>
        <w:ind w:firstLine="420"/>
        <w:rPr>
          <w:rFonts w:hint="eastAsia"/>
          <w:sz w:val="18"/>
          <w:szCs w:val="18"/>
          <w:lang w:val="en-US"/>
        </w:rPr>
      </w:pPr>
      <w:r>
        <w:rPr>
          <w:rFonts w:hint="eastAsia"/>
          <w:sz w:val="18"/>
          <w:szCs w:val="18"/>
          <w:lang w:val="en-US"/>
        </w:rPr>
        <w:t>注：上述风速梯度分布幂指函数参考《绿色建筑评价技术细则》关于4.2.6节条文说明，也可酌情参考《建筑通风效果测试与评价标准》JGJT3099-2013中5.2.1节</w:t>
      </w:r>
    </w:p>
    <w:p w14:paraId="0CD729DF">
      <w:pPr>
        <w:spacing w:before="156" w:beforeLines="50"/>
        <w:rPr>
          <w:rFonts w:hint="eastAsia"/>
        </w:rPr>
      </w:pPr>
      <w:r>
        <w:t>2）出口边界</w:t>
      </w:r>
      <w:r>
        <w:rPr>
          <w:rFonts w:hint="eastAsia"/>
        </w:rPr>
        <w:t>条件</w:t>
      </w:r>
    </w:p>
    <w:p w14:paraId="2D074715">
      <w:pPr>
        <w:pStyle w:val="3"/>
        <w:ind w:firstLine="420" w:firstLineChars="0"/>
        <w:rPr>
          <w:rFonts w:hint="eastAsia" w:ascii="微软雅黑" w:hAnsi="微软雅黑" w:eastAsia="微软雅黑"/>
          <w:lang w:val="en-US"/>
        </w:rPr>
      </w:pPr>
      <w:r>
        <w:rPr>
          <w:rFonts w:hint="eastAsia" w:ascii="微软雅黑" w:hAnsi="微软雅黑" w:eastAsia="微软雅黑"/>
          <w:lang w:val="en-US"/>
        </w:rPr>
        <w:t>本项目采用自由出流作为出口边界条件。</w:t>
      </w:r>
    </w:p>
    <w:p w14:paraId="7D6AC4A4">
      <w:pPr>
        <w:pStyle w:val="5"/>
        <w:rPr>
          <w:rFonts w:hint="eastAsia"/>
        </w:rPr>
      </w:pPr>
      <w:bookmarkStart w:id="63" w:name="_Toc509844744"/>
      <w:r>
        <w:rPr>
          <w:rFonts w:hint="eastAsia"/>
        </w:rPr>
        <w:t>壁面边界条件</w:t>
      </w:r>
      <w:bookmarkEnd w:id="63"/>
    </w:p>
    <w:p w14:paraId="2E28EFD0">
      <w:pPr>
        <w:pStyle w:val="3"/>
        <w:ind w:firstLine="420" w:firstLineChars="0"/>
        <w:rPr>
          <w:rFonts w:hint="eastAsia"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7D626C2">
      <w:pPr>
        <w:pStyle w:val="3"/>
        <w:ind w:firstLine="420" w:firstLineChars="0"/>
        <w:rPr>
          <w:rFonts w:hint="eastAsia"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F005BD7">
      <w:pPr>
        <w:pStyle w:val="4"/>
        <w:numPr>
          <w:ilvl w:val="1"/>
          <w:numId w:val="3"/>
        </w:numPr>
        <w:rPr>
          <w:rFonts w:hint="eastAsia"/>
        </w:rPr>
      </w:pPr>
      <w:bookmarkStart w:id="64" w:name="_Toc5377"/>
      <w:r>
        <w:rPr>
          <w:rFonts w:hint="eastAsia"/>
        </w:rPr>
        <w:t>湍流模型</w:t>
      </w:r>
      <w:bookmarkEnd w:id="37"/>
      <w:bookmarkEnd w:id="38"/>
      <w:bookmarkEnd w:id="64"/>
    </w:p>
    <w:p w14:paraId="29E8507E">
      <w:pPr>
        <w:pStyle w:val="3"/>
        <w:ind w:firstLine="420"/>
        <w:rPr>
          <w:rFonts w:hint="eastAsia"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73BDD671">
      <w:pPr>
        <w:pStyle w:val="3"/>
        <w:ind w:firstLine="420"/>
        <w:rPr>
          <w:rFonts w:hint="eastAsia"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7DB7B81">
      <w:pPr>
        <w:pStyle w:val="3"/>
        <w:ind w:firstLine="420"/>
        <w:rPr>
          <w:rFonts w:hint="eastAsia" w:ascii="微软雅黑" w:hAnsi="微软雅黑" w:eastAsia="微软雅黑"/>
        </w:rPr>
      </w:pPr>
      <w:r>
        <w:rPr>
          <w:rFonts w:hint="eastAsia" w:ascii="微软雅黑" w:hAnsi="微软雅黑" w:eastAsia="微软雅黑"/>
        </w:rPr>
        <w:t>下表为几种工程流体中常见的湍流模型适用性：</w:t>
      </w:r>
    </w:p>
    <w:p w14:paraId="0FA49F0B">
      <w:pPr>
        <w:pStyle w:val="3"/>
        <w:ind w:firstLine="0" w:firstLineChars="0"/>
        <w:jc w:val="center"/>
        <w:rPr>
          <w:rFonts w:hint="eastAsia"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049E39F4">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F06B423">
            <w:pPr>
              <w:jc w:val="center"/>
              <w:rPr>
                <w:rFonts w:hint="eastAsia"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25CB8351">
            <w:pPr>
              <w:jc w:val="center"/>
              <w:rPr>
                <w:rFonts w:hint="eastAsia" w:cs="宋体"/>
                <w:b/>
                <w:bCs/>
                <w:sz w:val="18"/>
                <w:szCs w:val="18"/>
              </w:rPr>
            </w:pPr>
            <w:r>
              <w:rPr>
                <w:rFonts w:hint="eastAsia" w:cs="宋体"/>
                <w:b/>
                <w:bCs/>
                <w:sz w:val="18"/>
                <w:szCs w:val="18"/>
              </w:rPr>
              <w:t>特点和适用工况</w:t>
            </w:r>
          </w:p>
        </w:tc>
      </w:tr>
      <w:tr w14:paraId="5CEE992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8D54674">
            <w:pPr>
              <w:jc w:val="center"/>
              <w:rPr>
                <w:rFonts w:hint="eastAsia"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1309C7">
            <w:pPr>
              <w:rPr>
                <w:rFonts w:hint="eastAsia" w:cs="宋体"/>
                <w:sz w:val="18"/>
                <w:szCs w:val="18"/>
              </w:rPr>
            </w:pPr>
            <w:r>
              <w:rPr>
                <w:rFonts w:hint="eastAsia" w:cs="宋体"/>
                <w:sz w:val="18"/>
                <w:szCs w:val="18"/>
              </w:rPr>
              <w:t>简单的工业流场和热交换模拟，无较大压力梯度、分离、强曲率流，适用于初始的参数研究</w:t>
            </w:r>
          </w:p>
        </w:tc>
      </w:tr>
      <w:tr w14:paraId="66B0E00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7599404">
            <w:pPr>
              <w:jc w:val="center"/>
              <w:rPr>
                <w:rFonts w:hint="eastAsia"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563A368">
            <w:pPr>
              <w:rPr>
                <w:rFonts w:hint="eastAsia"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3A59C9B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E40298F">
            <w:pPr>
              <w:jc w:val="center"/>
              <w:rPr>
                <w:rFonts w:hint="eastAsia"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CC53132">
            <w:pPr>
              <w:rPr>
                <w:rFonts w:hint="eastAsia" w:cs="宋体"/>
                <w:sz w:val="18"/>
                <w:szCs w:val="18"/>
              </w:rPr>
            </w:pPr>
            <w:r>
              <w:rPr>
                <w:rFonts w:hint="eastAsia" w:cs="宋体"/>
                <w:sz w:val="18"/>
                <w:szCs w:val="18"/>
              </w:rPr>
              <w:t>旋转流动、强逆压梯度的边界层流动、流动分离和二次流，类似于RNG</w:t>
            </w:r>
          </w:p>
        </w:tc>
      </w:tr>
    </w:tbl>
    <w:p w14:paraId="22CF2FA8">
      <w:pPr>
        <w:pStyle w:val="4"/>
        <w:numPr>
          <w:ilvl w:val="1"/>
          <w:numId w:val="3"/>
        </w:numPr>
        <w:rPr>
          <w:rFonts w:hint="eastAsia"/>
        </w:rPr>
      </w:pPr>
      <w:bookmarkStart w:id="65" w:name="_Toc452108767"/>
      <w:bookmarkStart w:id="66" w:name="_Toc451698939"/>
      <w:bookmarkStart w:id="67" w:name="_Toc30699"/>
      <w:r>
        <w:rPr>
          <w:rFonts w:hint="eastAsia"/>
        </w:rPr>
        <w:t>求解计算</w:t>
      </w:r>
      <w:bookmarkEnd w:id="65"/>
      <w:bookmarkEnd w:id="66"/>
      <w:bookmarkEnd w:id="67"/>
    </w:p>
    <w:p w14:paraId="13C07578">
      <w:pPr>
        <w:pStyle w:val="5"/>
        <w:rPr>
          <w:rFonts w:hint="eastAsia"/>
        </w:rPr>
      </w:pPr>
      <w:r>
        <w:rPr>
          <w:rFonts w:hint="eastAsia"/>
        </w:rPr>
        <w:t>数学模型</w:t>
      </w:r>
    </w:p>
    <w:p w14:paraId="23E6AFFE">
      <w:pPr>
        <w:pStyle w:val="3"/>
        <w:ind w:firstLine="420"/>
        <w:rPr>
          <w:rFonts w:hint="eastAsia"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6841C16">
      <w:pPr>
        <w:pStyle w:val="3"/>
        <w:ind w:firstLine="420"/>
        <w:rPr>
          <w:rFonts w:hint="eastAsia"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C68FA6A">
      <w:pPr>
        <w:pStyle w:val="3"/>
        <w:ind w:firstLine="420"/>
        <w:rPr>
          <w:rFonts w:hint="eastAsia"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AB1AB59">
      <w:pPr>
        <w:pStyle w:val="3"/>
        <w:ind w:firstLine="0" w:firstLineChars="0"/>
        <w:jc w:val="center"/>
        <w:rPr>
          <w:rFonts w:hint="eastAsia" w:ascii="微软雅黑" w:hAnsi="微软雅黑" w:eastAsia="微软雅黑"/>
          <w:sz w:val="20"/>
          <w:szCs w:val="20"/>
        </w:rPr>
      </w:pPr>
      <w:bookmarkStart w:id="68"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68"/>
      <w:r>
        <w:rPr>
          <w:rFonts w:hint="eastAsia" w:ascii="微软雅黑" w:hAnsi="微软雅黑" w:eastAsia="微软雅黑"/>
          <w:sz w:val="20"/>
          <w:szCs w:val="20"/>
        </w:rPr>
        <w:t xml:space="preserve"> </w:t>
      </w:r>
      <w:bookmarkStart w:id="69" w:name="_Ref225175618"/>
      <w:r>
        <w:rPr>
          <w:rFonts w:hint="eastAsia" w:ascii="微软雅黑" w:hAnsi="微软雅黑" w:eastAsia="微软雅黑"/>
          <w:sz w:val="20"/>
          <w:szCs w:val="20"/>
        </w:rPr>
        <w:t>计算流体力学的控制方程</w:t>
      </w:r>
      <w:bookmarkEnd w:id="69"/>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6549A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FE713D9">
            <w:pPr>
              <w:widowControl w:val="0"/>
              <w:jc w:val="both"/>
              <w:rPr>
                <w:rFonts w:hint="eastAsia"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0A36796">
            <w:pPr>
              <w:widowControl w:val="0"/>
              <w:jc w:val="center"/>
              <w:rPr>
                <w:rFonts w:hint="eastAsia"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26AD858">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22934F83">
            <w:pPr>
              <w:widowControl w:val="0"/>
              <w:jc w:val="both"/>
              <w:rPr>
                <w:rFonts w:hint="eastAsia"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26173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5DD892">
            <w:pPr>
              <w:widowControl w:val="0"/>
              <w:jc w:val="both"/>
              <w:rPr>
                <w:rFonts w:hint="eastAsia"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407EA97F">
            <w:pPr>
              <w:widowControl w:val="0"/>
              <w:jc w:val="center"/>
              <w:rPr>
                <w:rFonts w:hint="eastAsia"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FE1B6FF">
            <w:pPr>
              <w:widowControl w:val="0"/>
              <w:rPr>
                <w:rFonts w:hint="eastAsia"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E44118B">
            <w:pPr>
              <w:widowControl w:val="0"/>
              <w:jc w:val="both"/>
              <w:rPr>
                <w:rFonts w:hint="eastAsia" w:cs="Calibri"/>
                <w:kern w:val="2"/>
                <w:sz w:val="18"/>
                <w:szCs w:val="18"/>
              </w:rPr>
            </w:pPr>
            <w:r>
              <w:rPr>
                <w:sz w:val="18"/>
                <w:szCs w:val="18"/>
              </w:rPr>
              <w:t>0</w:t>
            </w:r>
          </w:p>
        </w:tc>
      </w:tr>
      <w:tr w14:paraId="567472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5064DF">
            <w:pPr>
              <w:widowControl w:val="0"/>
              <w:jc w:val="both"/>
              <w:rPr>
                <w:rFonts w:hint="eastAsia"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A2EE468">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2D9720">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47FA614">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53FBEF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7EC7DE1">
            <w:pPr>
              <w:widowControl w:val="0"/>
              <w:jc w:val="both"/>
              <w:rPr>
                <w:rFonts w:hint="eastAsia"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2454547">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0C5203">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5113F83">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ECC9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09416C">
            <w:pPr>
              <w:widowControl w:val="0"/>
              <w:jc w:val="both"/>
              <w:rPr>
                <w:rFonts w:hint="eastAsia"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0261CF">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BF950E">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0F60E2">
            <w:pPr>
              <w:widowControl w:val="0"/>
              <w:spacing w:line="480" w:lineRule="auto"/>
              <w:jc w:val="both"/>
              <w:rPr>
                <w:rFonts w:hint="eastAsia"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6FBCB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DE3873">
            <w:pPr>
              <w:rPr>
                <w:rFonts w:hint="eastAsia"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CE9EACC">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CA7F7F">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AE395D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562517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F80CE5">
            <w:pPr>
              <w:rPr>
                <w:rFonts w:hint="eastAsia"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3CEF2AE">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4D4C341">
            <w:pPr>
              <w:widowControl w:val="0"/>
              <w:spacing w:line="480" w:lineRule="auto"/>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F48BAA">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29F0F9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DB5757F">
            <w:pPr>
              <w:widowControl w:val="0"/>
              <w:jc w:val="both"/>
              <w:rPr>
                <w:rFonts w:hint="eastAsia"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5AD0223">
            <w:pPr>
              <w:widowControl w:val="0"/>
              <w:spacing w:line="480" w:lineRule="auto"/>
              <w:jc w:val="both"/>
              <w:rPr>
                <w:rFonts w:hint="eastAsia"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F273525">
            <w:pPr>
              <w:widowControl w:val="0"/>
              <w:spacing w:line="480" w:lineRule="auto"/>
              <w:rPr>
                <w:rFonts w:hint="eastAsia"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73459B1">
            <w:pPr>
              <w:widowControl w:val="0"/>
              <w:spacing w:line="480" w:lineRule="auto"/>
              <w:jc w:val="both"/>
              <w:rPr>
                <w:rFonts w:hint="eastAsia"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B46DD72">
      <w:pPr>
        <w:pStyle w:val="3"/>
        <w:ind w:firstLine="420"/>
        <w:rPr>
          <w:rFonts w:hint="eastAsia"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EC95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648DD63">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2EB7C6C9">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59B46AF2">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C602634">
            <w:pPr>
              <w:pStyle w:val="3"/>
              <w:spacing w:line="240" w:lineRule="atLeast"/>
              <w:ind w:firstLine="0" w:firstLineChars="0"/>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9D5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141197A">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6BFBDF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474C11A4">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59A20538">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E369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C9DF921">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6142FBD">
            <w:pPr>
              <w:pStyle w:val="3"/>
              <w:spacing w:line="240" w:lineRule="atLeast"/>
              <w:ind w:firstLine="0" w:firstLineChars="0"/>
              <w:jc w:val="left"/>
              <w:rPr>
                <w:rFonts w:hint="eastAsia"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AAD6CCA">
            <w:pPr>
              <w:pStyle w:val="3"/>
              <w:spacing w:line="240" w:lineRule="atLeast"/>
              <w:ind w:firstLine="0" w:firstLineChars="0"/>
              <w:jc w:val="left"/>
              <w:rPr>
                <w:rFonts w:hint="eastAsia" w:ascii="微软雅黑" w:hAnsi="微软雅黑" w:eastAsia="微软雅黑"/>
                <w:sz w:val="18"/>
                <w:szCs w:val="18"/>
                <w:lang w:val="en-US"/>
              </w:rPr>
            </w:pPr>
          </w:p>
        </w:tc>
        <w:tc>
          <w:tcPr>
            <w:tcW w:w="2083" w:type="dxa"/>
            <w:vAlign w:val="center"/>
          </w:tcPr>
          <w:p w14:paraId="2090D979">
            <w:pPr>
              <w:pStyle w:val="3"/>
              <w:spacing w:line="240" w:lineRule="atLeast"/>
              <w:ind w:firstLine="0" w:firstLineChars="0"/>
              <w:jc w:val="left"/>
              <w:rPr>
                <w:rFonts w:hint="eastAsia" w:ascii="微软雅黑" w:hAnsi="微软雅黑" w:eastAsia="微软雅黑"/>
                <w:sz w:val="18"/>
                <w:szCs w:val="18"/>
                <w:lang w:val="en-US"/>
              </w:rPr>
            </w:pPr>
          </w:p>
        </w:tc>
      </w:tr>
      <w:tr w14:paraId="6278B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A303E76">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4BE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4D62A56">
            <w:pPr>
              <w:pStyle w:val="3"/>
              <w:spacing w:line="240" w:lineRule="atLeast"/>
              <w:ind w:firstLine="0" w:firstLineChars="0"/>
              <w:jc w:val="left"/>
              <w:rPr>
                <w:rFonts w:hint="eastAsia"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C98E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F313FFC">
            <w:pPr>
              <w:pStyle w:val="3"/>
              <w:spacing w:line="240" w:lineRule="atLeast"/>
              <w:ind w:firstLine="0" w:firstLineChars="0"/>
              <w:jc w:val="left"/>
              <w:rPr>
                <w:rFonts w:hint="eastAsia"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19DE4D0">
      <w:pPr>
        <w:pStyle w:val="3"/>
        <w:ind w:firstLine="525" w:firstLineChars="250"/>
        <w:rPr>
          <w:rFonts w:hint="eastAsia" w:ascii="微软雅黑" w:hAnsi="微软雅黑" w:eastAsia="微软雅黑"/>
        </w:rPr>
      </w:pPr>
    </w:p>
    <w:p w14:paraId="55BBB069">
      <w:pPr>
        <w:pStyle w:val="5"/>
        <w:rPr>
          <w:rFonts w:hint="eastAsia"/>
        </w:rPr>
      </w:pPr>
      <w:r>
        <w:rPr>
          <w:rFonts w:hint="eastAsia"/>
        </w:rPr>
        <w:t>算法说明</w:t>
      </w:r>
    </w:p>
    <w:p w14:paraId="18A34265">
      <w:pPr>
        <w:pStyle w:val="3"/>
        <w:ind w:firstLine="420"/>
        <w:rPr>
          <w:rFonts w:hint="eastAsia"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28"/>
    </w:p>
    <w:p w14:paraId="30F22C59">
      <w:pPr>
        <w:pStyle w:val="4"/>
        <w:rPr>
          <w:rFonts w:hint="eastAsia"/>
        </w:rPr>
      </w:pPr>
      <w:bookmarkStart w:id="70" w:name="_Toc509844747"/>
      <w:bookmarkStart w:id="71" w:name="_Toc6294"/>
      <w:r>
        <w:rPr>
          <w:rFonts w:hint="eastAsia"/>
        </w:rPr>
        <w:t>风速放大系数计算</w:t>
      </w:r>
      <w:bookmarkEnd w:id="70"/>
      <w:bookmarkEnd w:id="71"/>
    </w:p>
    <w:p w14:paraId="483CB24D">
      <w:pPr>
        <w:pStyle w:val="3"/>
        <w:ind w:firstLine="420"/>
        <w:rPr>
          <w:rFonts w:hint="eastAsia"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5AF1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C06742A">
            <w:pPr>
              <w:pStyle w:val="3"/>
              <w:ind w:firstLine="420"/>
              <w:rPr>
                <w:rFonts w:hint="eastAsia"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7D16BDD9">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A06A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3D76AFE1">
            <w:pPr>
              <w:spacing w:line="360" w:lineRule="exact"/>
              <w:rPr>
                <w:rFonts w:hint="eastAsia"/>
                <w:lang w:val="en-US"/>
              </w:rPr>
            </w:pPr>
          </w:p>
        </w:tc>
        <w:tc>
          <w:tcPr>
            <w:tcW w:w="1832" w:type="dxa"/>
            <w:vAlign w:val="center"/>
          </w:tcPr>
          <w:p w14:paraId="72A81BF3">
            <w:pPr>
              <w:spacing w:line="360" w:lineRule="exact"/>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0B18038C">
      <w:pPr>
        <w:pStyle w:val="3"/>
        <w:ind w:firstLine="420"/>
        <w:rPr>
          <w:rFonts w:hint="eastAsia" w:ascii="微软雅黑" w:hAnsi="微软雅黑" w:eastAsia="微软雅黑"/>
          <w:lang w:val="en-US"/>
        </w:rPr>
      </w:pPr>
      <w:r>
        <w:rPr>
          <w:rFonts w:hint="eastAsia" w:ascii="微软雅黑" w:hAnsi="微软雅黑" w:eastAsia="微软雅黑"/>
          <w:lang w:val="en-US"/>
        </w:rPr>
        <w:t>其中：</w:t>
      </w:r>
    </w:p>
    <w:p w14:paraId="11E2D51A">
      <w:pPr>
        <w:pStyle w:val="3"/>
        <w:ind w:firstLine="420"/>
        <w:rPr>
          <w:rFonts w:hint="eastAsia" w:ascii="微软雅黑" w:hAnsi="微软雅黑" w:eastAsia="微软雅黑"/>
        </w:rPr>
      </w:pPr>
      <w:r>
        <w:rPr>
          <w:rFonts w:ascii="微软雅黑" w:hAnsi="微软雅黑" w:eastAsia="微软雅黑"/>
          <w:position w:val="-6"/>
        </w:rPr>
        <w:object>
          <v:shape id="_x0000_i1028" o:spt="75" type="#_x0000_t75" style="height:13.6pt;width:12.9pt;" o:ole="t" filled="f" o:preferrelative="t" stroked="f" coordsize="21600,21600">
            <v:path/>
            <v:fill on="f" focussize="0,0"/>
            <v:stroke on="f" joinstyle="miter"/>
            <v:imagedata r:id="rId26" o:title=""/>
            <o:lock v:ext="edit" aspectratio="t"/>
            <w10:wrap type="none"/>
            <w10:anchorlock/>
          </v:shape>
          <o:OLEObject Type="Embed" ProgID="Equation.3" ShapeID="_x0000_i1028" DrawAspect="Content" ObjectID="_1468075728" r:id="rId25">
            <o:LockedField>false</o:LockedField>
          </o:OLEObject>
        </w:object>
      </w:r>
      <w:r>
        <w:rPr>
          <w:rFonts w:hint="eastAsia" w:ascii="微软雅黑" w:hAnsi="微软雅黑" w:eastAsia="微软雅黑"/>
        </w:rPr>
        <w:t>——风速放大系数；</w:t>
      </w:r>
    </w:p>
    <w:p w14:paraId="583CDFF3">
      <w:pPr>
        <w:pStyle w:val="3"/>
        <w:ind w:firstLine="420"/>
        <w:rPr>
          <w:rFonts w:hint="eastAsia" w:ascii="微软雅黑" w:hAnsi="微软雅黑" w:eastAsia="微软雅黑"/>
          <w:lang w:val="en-US"/>
        </w:rPr>
      </w:pPr>
      <w:r>
        <w:rPr>
          <w:rFonts w:ascii="微软雅黑" w:hAnsi="微软雅黑" w:eastAsia="微软雅黑"/>
          <w:position w:val="-10"/>
        </w:rPr>
        <w:object>
          <v:shape id="_x0000_i1029" o:spt="75" type="#_x0000_t75" style="height:19pt;width:23.1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2441ADB">
      <w:pPr>
        <w:pStyle w:val="3"/>
        <w:ind w:firstLine="420"/>
        <w:rPr>
          <w:rFonts w:hint="eastAsia" w:ascii="微软雅黑" w:hAnsi="微软雅黑" w:eastAsia="微软雅黑"/>
          <w:lang w:val="en-US"/>
        </w:rPr>
      </w:pPr>
      <w:r>
        <w:rPr>
          <w:rFonts w:ascii="微软雅黑" w:hAnsi="微软雅黑" w:eastAsia="微软雅黑"/>
          <w:position w:val="-14"/>
        </w:rPr>
        <w:object>
          <v:shape id="_x0000_i1030" o:spt="75" type="#_x0000_t75" style="height:19pt;width:23.1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BB03194">
      <w:pPr>
        <w:pStyle w:val="3"/>
        <w:ind w:firstLine="420"/>
        <w:rPr>
          <w:rFonts w:hint="eastAsia" w:ascii="微软雅黑" w:hAnsi="微软雅黑" w:eastAsia="微软雅黑"/>
          <w:lang w:val="en-US"/>
        </w:rPr>
      </w:pPr>
      <w:r>
        <w:rPr>
          <w:rFonts w:ascii="微软雅黑" w:hAnsi="微软雅黑" w:eastAsia="微软雅黑"/>
          <w:position w:val="-14"/>
        </w:rPr>
        <w:object>
          <v:shape id="_x0000_i1031" o:spt="75" type="#_x0000_t75" style="height:19pt;width:19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50109948">
      <w:pPr>
        <w:pStyle w:val="3"/>
        <w:ind w:firstLine="420"/>
        <w:rPr>
          <w:rFonts w:hint="eastAsia"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——风速梯度分布幂指函数，</w:t>
      </w:r>
      <w:r>
        <w:rPr>
          <w:rFonts w:ascii="微软雅黑" w:hAnsi="微软雅黑" w:eastAsia="微软雅黑"/>
          <w:lang w:val="en-US"/>
        </w:rPr>
        <w:t>本项目为</w:t>
      </w:r>
      <w:bookmarkStart w:id="72" w:name="地面粗糙度指数"/>
      <w:r>
        <w:rPr>
          <w:rFonts w:hint="eastAsia" w:ascii="微软雅黑" w:hAnsi="微软雅黑" w:eastAsia="微软雅黑"/>
          <w:lang w:val="en-US"/>
        </w:rPr>
        <w:t>0.22</w:t>
      </w:r>
      <w:bookmarkEnd w:id="72"/>
      <w:r>
        <w:rPr>
          <w:rFonts w:hint="eastAsia" w:ascii="微软雅黑" w:hAnsi="微软雅黑" w:eastAsia="微软雅黑"/>
          <w:lang w:val="en-US"/>
        </w:rPr>
        <w:t>；</w:t>
      </w:r>
    </w:p>
    <w:p w14:paraId="2AA0F4EF">
      <w:pPr>
        <w:pStyle w:val="2"/>
        <w:rPr>
          <w:rFonts w:hint="eastAsia" w:ascii="微软雅黑" w:hAnsi="微软雅黑"/>
        </w:rPr>
      </w:pPr>
      <w:bookmarkStart w:id="73" w:name="_Toc452108768"/>
      <w:bookmarkStart w:id="74" w:name="_Toc11276"/>
      <w:r>
        <w:rPr>
          <w:rFonts w:hint="eastAsia" w:ascii="微软雅黑" w:hAnsi="微软雅黑"/>
        </w:rPr>
        <w:t>结果</w:t>
      </w:r>
      <w:r>
        <w:rPr>
          <w:rFonts w:ascii="微软雅黑" w:hAnsi="微软雅黑"/>
        </w:rPr>
        <w:t>分析</w:t>
      </w:r>
      <w:bookmarkEnd w:id="73"/>
      <w:bookmarkEnd w:id="74"/>
    </w:p>
    <w:p w14:paraId="3C215006">
      <w:pPr>
        <w:pStyle w:val="4"/>
        <w:rPr>
          <w:rFonts w:hint="eastAsia"/>
          <w:szCs w:val="21"/>
        </w:rPr>
      </w:pPr>
      <w:bookmarkStart w:id="75" w:name="_Toc23607"/>
      <w:r>
        <w:rPr>
          <w:rFonts w:hint="eastAsia"/>
          <w:szCs w:val="21"/>
        </w:rPr>
        <w:t>工况</w:t>
      </w:r>
      <w:r>
        <w:rPr>
          <w:szCs w:val="21"/>
        </w:rPr>
        <w:t>表</w:t>
      </w:r>
      <w:bookmarkEnd w:id="75"/>
    </w:p>
    <w:p w14:paraId="22F46B09">
      <w:pPr>
        <w:pStyle w:val="3"/>
        <w:ind w:firstLine="420"/>
        <w:rPr>
          <w:rFonts w:hint="eastAsia"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5"/>
        <w:gridCol w:w="1694"/>
        <w:gridCol w:w="1695"/>
      </w:tblGrid>
      <w:tr w14:paraId="2BAEB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01F5167C">
            <w:pPr>
              <w:spacing w:line="400" w:lineRule="exact"/>
              <w:jc w:val="center"/>
              <w:rPr>
                <w:rFonts w:hint="eastAsia"/>
                <w:sz w:val="18"/>
                <w:szCs w:val="18"/>
              </w:rPr>
            </w:pPr>
            <w:bookmarkStart w:id="76" w:name="计算工况表"/>
            <w:r>
              <w:rPr>
                <w:rFonts w:hint="eastAsia"/>
                <w:sz w:val="18"/>
                <w:szCs w:val="18"/>
              </w:rPr>
              <w:t>序号</w:t>
            </w:r>
          </w:p>
        </w:tc>
        <w:tc>
          <w:tcPr>
            <w:tcW w:w="1166" w:type="pct"/>
            <w:shd w:val="clear" w:color="auto" w:fill="E6E6E6"/>
            <w:vAlign w:val="center"/>
          </w:tcPr>
          <w:p w14:paraId="17E7AB9A">
            <w:pPr>
              <w:spacing w:line="400" w:lineRule="exact"/>
              <w:jc w:val="center"/>
              <w:rPr>
                <w:rFonts w:hint="eastAsia"/>
                <w:sz w:val="18"/>
                <w:szCs w:val="18"/>
              </w:rPr>
            </w:pPr>
            <w:r>
              <w:rPr>
                <w:rFonts w:hint="eastAsia"/>
                <w:sz w:val="18"/>
                <w:szCs w:val="18"/>
              </w:rPr>
              <w:t>季节</w:t>
            </w:r>
          </w:p>
        </w:tc>
        <w:tc>
          <w:tcPr>
            <w:tcW w:w="1188" w:type="pct"/>
            <w:shd w:val="clear" w:color="auto" w:fill="E6E6E6"/>
            <w:vAlign w:val="center"/>
          </w:tcPr>
          <w:p w14:paraId="6D7943B3">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3AE36F0B">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62D67634">
            <w:pPr>
              <w:spacing w:line="400" w:lineRule="exact"/>
              <w:jc w:val="center"/>
              <w:rPr>
                <w:rFonts w:hint="eastAsia"/>
                <w:sz w:val="18"/>
                <w:szCs w:val="18"/>
              </w:rPr>
            </w:pPr>
            <w:r>
              <w:rPr>
                <w:rFonts w:hint="eastAsia"/>
                <w:sz w:val="18"/>
                <w:szCs w:val="18"/>
              </w:rPr>
              <w:t>风向（°</w:t>
            </w:r>
            <w:r>
              <w:rPr>
                <w:sz w:val="18"/>
                <w:szCs w:val="18"/>
              </w:rPr>
              <w:t>）</w:t>
            </w:r>
          </w:p>
        </w:tc>
      </w:tr>
      <w:tr w14:paraId="6653F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62B1F91">
            <w:pPr>
              <w:spacing w:line="400" w:lineRule="exact"/>
              <w:jc w:val="center"/>
              <w:rPr>
                <w:rFonts w:hint="eastAsia"/>
                <w:sz w:val="18"/>
                <w:szCs w:val="18"/>
              </w:rPr>
            </w:pPr>
            <w:r>
              <w:rPr>
                <w:rFonts w:hint="eastAsia"/>
                <w:sz w:val="18"/>
                <w:szCs w:val="18"/>
              </w:rPr>
              <w:t>1</w:t>
            </w:r>
          </w:p>
        </w:tc>
        <w:tc>
          <w:tcPr>
            <w:tcW w:w="1166" w:type="pct"/>
            <w:vAlign w:val="center"/>
          </w:tcPr>
          <w:p w14:paraId="06F4BC0A">
            <w:pPr>
              <w:spacing w:line="400" w:lineRule="exact"/>
              <w:jc w:val="center"/>
              <w:rPr>
                <w:rFonts w:hint="eastAsia"/>
                <w:sz w:val="18"/>
                <w:szCs w:val="18"/>
              </w:rPr>
            </w:pPr>
            <w:r>
              <w:rPr>
                <w:rFonts w:hint="eastAsia"/>
                <w:sz w:val="18"/>
                <w:szCs w:val="18"/>
              </w:rPr>
              <w:t>冬季</w:t>
            </w:r>
          </w:p>
        </w:tc>
        <w:tc>
          <w:tcPr>
            <w:tcW w:w="1188" w:type="pct"/>
            <w:vAlign w:val="center"/>
          </w:tcPr>
          <w:p w14:paraId="0D5108E0">
            <w:pPr>
              <w:spacing w:line="400" w:lineRule="exact"/>
              <w:jc w:val="center"/>
              <w:rPr>
                <w:rFonts w:hint="eastAsia"/>
                <w:sz w:val="18"/>
                <w:szCs w:val="18"/>
              </w:rPr>
            </w:pPr>
            <w:r>
              <w:rPr>
                <w:rFonts w:hint="eastAsia"/>
                <w:sz w:val="18"/>
                <w:szCs w:val="18"/>
              </w:rPr>
              <w:t>1.5</w:t>
            </w:r>
          </w:p>
        </w:tc>
        <w:tc>
          <w:tcPr>
            <w:tcW w:w="994" w:type="pct"/>
          </w:tcPr>
          <w:p w14:paraId="57DE1B75">
            <w:pPr>
              <w:spacing w:line="400" w:lineRule="exact"/>
              <w:jc w:val="center"/>
              <w:rPr>
                <w:rFonts w:hint="eastAsia"/>
                <w:sz w:val="18"/>
                <w:szCs w:val="18"/>
              </w:rPr>
            </w:pPr>
            <w:r>
              <w:rPr>
                <w:rFonts w:hint="eastAsia"/>
                <w:sz w:val="18"/>
                <w:szCs w:val="18"/>
              </w:rPr>
              <w:t>NNW</w:t>
            </w:r>
          </w:p>
        </w:tc>
        <w:tc>
          <w:tcPr>
            <w:tcW w:w="994" w:type="pct"/>
          </w:tcPr>
          <w:p w14:paraId="17EDA132">
            <w:pPr>
              <w:spacing w:line="400" w:lineRule="exact"/>
              <w:jc w:val="center"/>
              <w:rPr>
                <w:rFonts w:hint="eastAsia"/>
                <w:sz w:val="18"/>
                <w:szCs w:val="18"/>
              </w:rPr>
            </w:pPr>
            <w:r>
              <w:rPr>
                <w:rFonts w:hint="eastAsia"/>
                <w:sz w:val="18"/>
                <w:szCs w:val="18"/>
              </w:rPr>
              <w:t>112.5</w:t>
            </w:r>
          </w:p>
        </w:tc>
      </w:tr>
      <w:tr w14:paraId="4CDF0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E6E326A">
            <w:pPr>
              <w:spacing w:line="400" w:lineRule="exact"/>
              <w:jc w:val="center"/>
              <w:rPr>
                <w:rFonts w:hint="eastAsia"/>
                <w:sz w:val="18"/>
                <w:szCs w:val="18"/>
              </w:rPr>
            </w:pPr>
            <w:r>
              <w:rPr>
                <w:rFonts w:hint="eastAsia"/>
                <w:sz w:val="18"/>
                <w:szCs w:val="18"/>
              </w:rPr>
              <w:t>2</w:t>
            </w:r>
          </w:p>
        </w:tc>
        <w:tc>
          <w:tcPr>
            <w:tcW w:w="1166" w:type="pct"/>
            <w:vAlign w:val="center"/>
          </w:tcPr>
          <w:p w14:paraId="40EA8253">
            <w:pPr>
              <w:spacing w:line="400" w:lineRule="exact"/>
              <w:jc w:val="center"/>
              <w:rPr>
                <w:rFonts w:hint="eastAsia"/>
                <w:sz w:val="18"/>
                <w:szCs w:val="18"/>
              </w:rPr>
            </w:pPr>
            <w:r>
              <w:rPr>
                <w:rFonts w:hint="eastAsia"/>
                <w:sz w:val="18"/>
                <w:szCs w:val="18"/>
              </w:rPr>
              <w:t>夏季</w:t>
            </w:r>
          </w:p>
        </w:tc>
        <w:tc>
          <w:tcPr>
            <w:tcW w:w="1188" w:type="pct"/>
            <w:vAlign w:val="center"/>
          </w:tcPr>
          <w:p w14:paraId="131E3394">
            <w:pPr>
              <w:spacing w:line="400" w:lineRule="exact"/>
              <w:jc w:val="center"/>
              <w:rPr>
                <w:rFonts w:hint="eastAsia"/>
                <w:sz w:val="18"/>
                <w:szCs w:val="18"/>
              </w:rPr>
            </w:pPr>
            <w:r>
              <w:rPr>
                <w:rFonts w:hint="eastAsia"/>
                <w:sz w:val="18"/>
                <w:szCs w:val="18"/>
              </w:rPr>
              <w:t>2.1</w:t>
            </w:r>
          </w:p>
        </w:tc>
        <w:tc>
          <w:tcPr>
            <w:tcW w:w="994" w:type="pct"/>
          </w:tcPr>
          <w:p w14:paraId="7D292B59">
            <w:pPr>
              <w:spacing w:line="400" w:lineRule="exact"/>
              <w:jc w:val="center"/>
              <w:rPr>
                <w:rFonts w:hint="eastAsia"/>
                <w:sz w:val="18"/>
                <w:szCs w:val="18"/>
              </w:rPr>
            </w:pPr>
            <w:r>
              <w:rPr>
                <w:rFonts w:hint="eastAsia"/>
                <w:sz w:val="18"/>
                <w:szCs w:val="18"/>
              </w:rPr>
              <w:t>SSE</w:t>
            </w:r>
          </w:p>
        </w:tc>
        <w:tc>
          <w:tcPr>
            <w:tcW w:w="994" w:type="pct"/>
          </w:tcPr>
          <w:p w14:paraId="1B5E7177">
            <w:pPr>
              <w:spacing w:line="400" w:lineRule="exact"/>
              <w:jc w:val="center"/>
              <w:rPr>
                <w:rFonts w:hint="eastAsia"/>
                <w:sz w:val="18"/>
                <w:szCs w:val="18"/>
              </w:rPr>
            </w:pPr>
            <w:r>
              <w:rPr>
                <w:rFonts w:hint="eastAsia"/>
                <w:sz w:val="18"/>
                <w:szCs w:val="18"/>
              </w:rPr>
              <w:t>292.5</w:t>
            </w:r>
          </w:p>
        </w:tc>
      </w:tr>
      <w:tr w14:paraId="4628F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06E16A72">
            <w:pPr>
              <w:spacing w:line="400" w:lineRule="exact"/>
              <w:jc w:val="center"/>
              <w:rPr>
                <w:rFonts w:hint="eastAsia"/>
                <w:sz w:val="18"/>
                <w:szCs w:val="18"/>
              </w:rPr>
            </w:pPr>
            <w:r>
              <w:rPr>
                <w:rFonts w:hint="eastAsia"/>
                <w:sz w:val="18"/>
                <w:szCs w:val="18"/>
              </w:rPr>
              <w:t>3</w:t>
            </w:r>
          </w:p>
        </w:tc>
        <w:tc>
          <w:tcPr>
            <w:tcW w:w="1166" w:type="pct"/>
            <w:vAlign w:val="center"/>
          </w:tcPr>
          <w:p w14:paraId="1E3F925E">
            <w:pPr>
              <w:spacing w:line="400" w:lineRule="exact"/>
              <w:jc w:val="center"/>
              <w:rPr>
                <w:rFonts w:hint="eastAsia"/>
                <w:sz w:val="18"/>
                <w:szCs w:val="18"/>
              </w:rPr>
            </w:pPr>
            <w:r>
              <w:rPr>
                <w:rFonts w:hint="eastAsia"/>
                <w:sz w:val="18"/>
                <w:szCs w:val="18"/>
              </w:rPr>
              <w:t>过渡季</w:t>
            </w:r>
          </w:p>
        </w:tc>
        <w:tc>
          <w:tcPr>
            <w:tcW w:w="1188" w:type="pct"/>
            <w:vAlign w:val="center"/>
          </w:tcPr>
          <w:p w14:paraId="72F225EB">
            <w:pPr>
              <w:spacing w:line="400" w:lineRule="exact"/>
              <w:jc w:val="center"/>
              <w:rPr>
                <w:rFonts w:hint="eastAsia"/>
                <w:sz w:val="18"/>
                <w:szCs w:val="18"/>
              </w:rPr>
            </w:pPr>
            <w:r>
              <w:rPr>
                <w:rFonts w:hint="eastAsia"/>
                <w:sz w:val="18"/>
                <w:szCs w:val="18"/>
              </w:rPr>
              <w:t>2.5</w:t>
            </w:r>
          </w:p>
        </w:tc>
        <w:tc>
          <w:tcPr>
            <w:tcW w:w="994" w:type="pct"/>
          </w:tcPr>
          <w:p w14:paraId="43408F4A">
            <w:pPr>
              <w:spacing w:line="400" w:lineRule="exact"/>
              <w:jc w:val="center"/>
              <w:rPr>
                <w:rFonts w:hint="eastAsia"/>
                <w:sz w:val="18"/>
                <w:szCs w:val="18"/>
              </w:rPr>
            </w:pPr>
            <w:r>
              <w:rPr>
                <w:rFonts w:hint="eastAsia"/>
                <w:sz w:val="18"/>
                <w:szCs w:val="18"/>
              </w:rPr>
              <w:t>NNW</w:t>
            </w:r>
          </w:p>
        </w:tc>
        <w:tc>
          <w:tcPr>
            <w:tcW w:w="994" w:type="pct"/>
          </w:tcPr>
          <w:p w14:paraId="74D9D9EF">
            <w:pPr>
              <w:spacing w:line="400" w:lineRule="exact"/>
              <w:jc w:val="center"/>
              <w:rPr>
                <w:rFonts w:hint="eastAsia"/>
                <w:sz w:val="18"/>
                <w:szCs w:val="18"/>
              </w:rPr>
            </w:pPr>
            <w:r>
              <w:rPr>
                <w:rFonts w:hint="eastAsia"/>
                <w:sz w:val="18"/>
                <w:szCs w:val="18"/>
              </w:rPr>
              <w:t>112.5</w:t>
            </w:r>
          </w:p>
        </w:tc>
      </w:tr>
      <w:bookmarkEnd w:id="76"/>
    </w:tbl>
    <w:p w14:paraId="1FD466DB">
      <w:pPr>
        <w:rPr>
          <w:rFonts w:hint="eastAsia"/>
          <w:sz w:val="18"/>
          <w:szCs w:val="18"/>
        </w:rPr>
      </w:pPr>
      <w:r>
        <w:rPr>
          <w:rFonts w:hint="eastAsia"/>
          <w:sz w:val="18"/>
          <w:szCs w:val="18"/>
        </w:rPr>
        <w:t>说明1：本项目</w:t>
      </w:r>
      <w:bookmarkStart w:id="77" w:name="工况表季节"/>
      <w:r>
        <w:rPr>
          <w:rFonts w:hint="eastAsia"/>
          <w:sz w:val="18"/>
          <w:szCs w:val="18"/>
        </w:rPr>
        <w:t>所有季节</w:t>
      </w:r>
      <w:bookmarkEnd w:id="77"/>
      <w:r>
        <w:rPr>
          <w:rFonts w:hint="eastAsia"/>
          <w:sz w:val="18"/>
          <w:szCs w:val="18"/>
        </w:rPr>
        <w:t>的风速、风向数据</w:t>
      </w:r>
      <w:bookmarkStart w:id="78" w:name="工况表数据来源"/>
      <w:r>
        <w:rPr>
          <w:rFonts w:hint="eastAsia"/>
          <w:sz w:val="18"/>
          <w:szCs w:val="18"/>
        </w:rPr>
        <w:t>均来自《建筑节能气象参数标准》JGJ/T 346-2014</w:t>
      </w:r>
      <w:bookmarkEnd w:id="78"/>
      <w:r>
        <w:rPr>
          <w:rFonts w:hint="eastAsia"/>
          <w:sz w:val="18"/>
          <w:szCs w:val="18"/>
        </w:rPr>
        <w:t>。</w:t>
      </w:r>
    </w:p>
    <w:p w14:paraId="144F46EA">
      <w:pPr>
        <w:rPr>
          <w:rFonts w:hint="eastAsia"/>
          <w:sz w:val="18"/>
          <w:szCs w:val="18"/>
        </w:rPr>
      </w:pPr>
      <w:r>
        <w:rPr>
          <w:rFonts w:hint="eastAsia"/>
          <w:sz w:val="18"/>
          <w:szCs w:val="18"/>
        </w:rPr>
        <w:t>说明2：风向逆时针为正，正东为0°，正北为90°，正西为180°，正南为270°。风向字母意义</w:t>
      </w:r>
      <w:r>
        <w:rPr>
          <w:sz w:val="18"/>
          <w:szCs w:val="18"/>
        </w:rPr>
        <w:t>如下图所示</w:t>
      </w:r>
      <w:r>
        <w:rPr>
          <w:rFonts w:hint="eastAsia"/>
          <w:sz w:val="18"/>
          <w:szCs w:val="18"/>
        </w:rPr>
        <w:t>：</w:t>
      </w:r>
    </w:p>
    <w:p w14:paraId="51C59AC6">
      <w:pPr>
        <w:jc w:val="center"/>
        <w:rPr>
          <w:rFonts w:hint="eastAsia"/>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2736000" cy="2649600"/>
                    </a:xfrm>
                    <a:prstGeom prst="rect">
                      <a:avLst/>
                    </a:prstGeom>
                  </pic:spPr>
                </pic:pic>
              </a:graphicData>
            </a:graphic>
          </wp:inline>
        </w:drawing>
      </w:r>
    </w:p>
    <w:p w14:paraId="6353465E">
      <w:pPr>
        <w:pStyle w:val="3"/>
        <w:ind w:firstLine="0" w:firstLineChars="0"/>
        <w:jc w:val="center"/>
        <w:rPr>
          <w:rFonts w:hint="eastAsia"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87151FA">
      <w:pPr>
        <w:pStyle w:val="4"/>
      </w:pPr>
      <w:bookmarkStart w:id="79" w:name="_Toc509844750"/>
      <w:bookmarkStart w:id="80" w:name="_Toc27452"/>
      <w:r>
        <w:rPr>
          <w:rFonts w:hint="eastAsia"/>
        </w:rPr>
        <w:t>冬季工况</w:t>
      </w:r>
      <w:bookmarkEnd w:id="79"/>
      <w:bookmarkEnd w:id="80"/>
    </w:p>
    <w:p w14:paraId="28018510">
      <w:pPr>
        <w:ind w:firstLine="420" w:firstLineChars="200"/>
        <w:jc w:val="both"/>
      </w:pPr>
      <w:r>
        <w:rPr>
          <w:rFonts w:hint="eastAsia"/>
          <w:lang w:val="en-US"/>
        </w:rPr>
        <w:t>本项目冬季工况的入口边界风速为</w:t>
      </w:r>
      <w:bookmarkStart w:id="81" w:name="冬季入口边界风速"/>
      <w:r>
        <w:rPr>
          <w:rFonts w:hint="eastAsia"/>
        </w:rPr>
        <w:t>1.51</w:t>
      </w:r>
      <w:bookmarkEnd w:id="81"/>
      <w:r>
        <w:t>m/s</w:t>
      </w:r>
      <w:r>
        <w:rPr>
          <w:rFonts w:hint="eastAsia"/>
        </w:rPr>
        <w:t>，风向为</w:t>
      </w:r>
      <w:bookmarkStart w:id="82" w:name="冬季入口边界风向"/>
      <w:r>
        <w:t>NNW</w:t>
      </w:r>
      <w:bookmarkEnd w:id="82"/>
      <w:r>
        <w:rPr>
          <w:rFonts w:hint="eastAsia"/>
        </w:rPr>
        <w:t>。</w:t>
      </w:r>
    </w:p>
    <w:p w14:paraId="3CA36A36">
      <w:pPr>
        <w:pStyle w:val="5"/>
      </w:pPr>
      <w:bookmarkStart w:id="83" w:name="_Toc509844751"/>
      <w:r>
        <w:rPr>
          <w:rFonts w:hint="eastAsia"/>
        </w:rPr>
        <w:t>风速达标分析</w:t>
      </w:r>
      <w:bookmarkEnd w:id="83"/>
      <w:r>
        <w:rPr>
          <w:rFonts w:hint="eastAsia"/>
        </w:rPr>
        <w:t xml:space="preserve"> </w:t>
      </w:r>
    </w:p>
    <w:p w14:paraId="7D9BD9B3">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074ED365">
      <w:pPr>
        <w:pStyle w:val="30"/>
      </w:pPr>
      <w:r>
        <w:rPr>
          <w:rFonts w:hint="eastAsia"/>
        </w:rPr>
        <w:t>分析下列图数据，</w:t>
      </w:r>
      <w:bookmarkStart w:id="84" w:name="冬季工况人行区风速分析结论"/>
      <w:bookmarkEnd w:id="84"/>
      <w:r>
        <w:t>未标示出超标区域，可知人行区域风速为最大值为1.46m/s，小于5m/s，</w:t>
      </w:r>
      <w:r>
        <w:rPr>
          <w:color w:val="0000FF"/>
        </w:rPr>
        <w:t>满足</w:t>
      </w:r>
      <w:r>
        <w:t>绿标要求。</w:t>
      </w:r>
    </w:p>
    <w:p w14:paraId="73AFCA83">
      <w:pPr>
        <w:pStyle w:val="30"/>
      </w:pPr>
      <w:bookmarkStart w:id="85" w:name="冬季工况人行区风速云图"/>
      <w:bookmarkEnd w:id="85"/>
      <w:r>
        <w:drawing>
          <wp:inline distT="0" distB="0" distL="0" distR="0">
            <wp:extent cx="5667375" cy="3705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05225"/>
                    </a:xfrm>
                    <a:prstGeom prst="rect">
                      <a:avLst/>
                    </a:prstGeom>
                  </pic:spPr>
                </pic:pic>
              </a:graphicData>
            </a:graphic>
          </wp:inline>
        </w:drawing>
      </w:r>
    </w:p>
    <w:p w14:paraId="58E0FAC1">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29F21502">
      <w:pPr>
        <w:pStyle w:val="3"/>
        <w:ind w:firstLine="420"/>
        <w:rPr>
          <w:rFonts w:ascii="微软雅黑" w:hAnsi="微软雅黑" w:eastAsia="微软雅黑"/>
          <w:lang w:val="en-US"/>
        </w:rPr>
      </w:pPr>
    </w:p>
    <w:p w14:paraId="7AAD1014">
      <w:pPr>
        <w:pStyle w:val="5"/>
      </w:pPr>
      <w:bookmarkStart w:id="86" w:name="_Toc509844752"/>
      <w:r>
        <w:rPr>
          <w:rFonts w:hint="eastAsia"/>
        </w:rPr>
        <w:t>风速放大系数达标分析</w:t>
      </w:r>
      <w:bookmarkEnd w:id="86"/>
    </w:p>
    <w:p w14:paraId="5479E8E8">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图中未标示出风速放大系数超标区域，因此可知人行区域风速放大系数最大值为1.46，小于2，</w:t>
      </w:r>
      <w:r>
        <w:rPr>
          <w:rFonts w:ascii="微软雅黑" w:hAnsi="微软雅黑" w:eastAsia="微软雅黑"/>
          <w:color w:val="0000FF"/>
          <w:lang w:val="en-US"/>
        </w:rPr>
        <w:t>满足</w:t>
      </w:r>
      <w:r>
        <w:rPr>
          <w:rFonts w:ascii="微软雅黑" w:hAnsi="微软雅黑" w:eastAsia="微软雅黑"/>
          <w:lang w:val="en-US"/>
        </w:rPr>
        <w:t>绿标要求。</w:t>
      </w:r>
    </w:p>
    <w:p w14:paraId="4349CB9F">
      <w:pPr>
        <w:jc w:val="center"/>
        <w:rPr>
          <w:rFonts w:ascii="微软雅黑" w:hAnsi="微软雅黑" w:eastAsia="微软雅黑"/>
        </w:rPr>
      </w:pPr>
      <w:bookmarkStart w:id="88" w:name="冬季工况人行区风速放大系数云图"/>
      <w:bookmarkEnd w:id="88"/>
      <w:r>
        <w:drawing>
          <wp:inline distT="0" distB="0" distL="0" distR="0">
            <wp:extent cx="5667375" cy="3705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05225"/>
                    </a:xfrm>
                    <a:prstGeom prst="rect">
                      <a:avLst/>
                    </a:prstGeom>
                  </pic:spPr>
                </pic:pic>
              </a:graphicData>
            </a:graphic>
          </wp:inline>
        </w:drawing>
      </w:r>
    </w:p>
    <w:p w14:paraId="592CBA9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B17B1DC">
      <w:pPr>
        <w:pStyle w:val="3"/>
        <w:ind w:firstLine="420"/>
        <w:rPr>
          <w:rFonts w:ascii="微软雅黑" w:hAnsi="微软雅黑" w:eastAsia="微软雅黑"/>
          <w:lang w:val="en-US"/>
        </w:rPr>
      </w:pPr>
    </w:p>
    <w:p w14:paraId="2B3DCA7E">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7D78E84">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3CF8A99F">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4"/>
      <w:bookmarkEnd w:id="91"/>
      <w:bookmarkStart w:id="92" w:name="_Toc509844757"/>
      <w:bookmarkEnd w:id="92"/>
    </w:p>
    <w:p w14:paraId="65A93523">
      <w:pPr>
        <w:pStyle w:val="3"/>
        <w:ind w:firstLine="420"/>
        <w:rPr>
          <w:rFonts w:ascii="微软雅黑" w:hAnsi="微软雅黑" w:eastAsia="微软雅黑"/>
          <w:lang w:val="en-US"/>
        </w:rPr>
      </w:pPr>
    </w:p>
    <w:p w14:paraId="4228D6E7">
      <w:pPr>
        <w:pStyle w:val="5"/>
      </w:pPr>
      <w:bookmarkStart w:id="93" w:name="_Toc509844753"/>
      <w:r>
        <w:rPr>
          <w:rFonts w:hint="eastAsia"/>
        </w:rPr>
        <w:t>冬季工况风速/风速放大系数达标</w:t>
      </w:r>
      <w:bookmarkEnd w:id="93"/>
      <w:r>
        <w:rPr>
          <w:rFonts w:hint="eastAsia"/>
        </w:rPr>
        <w:t>结果汇总</w:t>
      </w:r>
    </w:p>
    <w:p w14:paraId="6791797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54EEB1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725B7E14">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360D0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09BB3EF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7B32442">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0CEAEDA">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599DB13">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2560F1F8">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158C2E73">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169A3615">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01EC20EE">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41BA07B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51729E">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6A449E5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53EFD3B">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7EEBE21">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480C21A7">
      <w:pPr>
        <w:rPr>
          <w:rFonts w:ascii="微软雅黑" w:hAnsi="微软雅黑" w:eastAsia="微软雅黑"/>
        </w:rPr>
      </w:pPr>
    </w:p>
    <w:p w14:paraId="4E80F221">
      <w:pPr>
        <w:pStyle w:val="5"/>
      </w:pPr>
      <w:r>
        <w:rPr>
          <w:rFonts w:hint="eastAsia"/>
        </w:rPr>
        <w:t>建筑迎风面和背风面风压分析</w:t>
      </w:r>
    </w:p>
    <w:p w14:paraId="3F6FEFEB">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E6384EC">
      <w:pPr>
        <w:pStyle w:val="6"/>
        <w:rPr>
          <w:lang w:val="en-US"/>
        </w:rPr>
      </w:pPr>
      <w:r>
        <w:rPr>
          <w:rFonts w:hint="eastAsia"/>
          <w:lang w:val="en-US"/>
        </w:rPr>
        <w:t>建筑迎风面和背风面风压差计算方法</w:t>
      </w:r>
    </w:p>
    <w:p w14:paraId="39D9047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13E46D3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noChangeArrowheads="1"/>
                    </pic:cNvPicPr>
                  </pic:nvPicPr>
                  <pic:blipFill>
                    <a:blip r:embed="rId3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984C63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73ABC377">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4D27FC1B">
        <w:tblPrEx>
          <w:tblCellMar>
            <w:top w:w="0" w:type="dxa"/>
            <w:left w:w="108" w:type="dxa"/>
            <w:bottom w:w="0" w:type="dxa"/>
            <w:right w:w="108" w:type="dxa"/>
          </w:tblCellMar>
        </w:tblPrEx>
        <w:tc>
          <w:tcPr>
            <w:tcW w:w="5524" w:type="dxa"/>
            <w:shd w:val="clear" w:color="auto" w:fill="auto"/>
          </w:tcPr>
          <w:p w14:paraId="21BF4922">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61634EB1">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83E0E9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91ECBF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053169F">
      <w:pPr>
        <w:pStyle w:val="6"/>
      </w:pPr>
      <w:r>
        <w:rPr>
          <w:rFonts w:hint="eastAsia"/>
        </w:rPr>
        <w:t>建筑迎风面和背风面风压云图</w:t>
      </w:r>
    </w:p>
    <w:p w14:paraId="2FB08E52">
      <w:pPr>
        <w:jc w:val="center"/>
        <w:rPr>
          <w:rFonts w:ascii="微软雅黑" w:hAnsi="微软雅黑" w:eastAsia="微软雅黑"/>
          <w:lang w:val="en-US"/>
        </w:rPr>
      </w:pPr>
      <w:bookmarkStart w:id="98" w:name="冬季工况建筑迎风面风压云图"/>
      <w:bookmarkEnd w:id="98"/>
      <w:r>
        <w:drawing>
          <wp:inline distT="0" distB="0" distL="0" distR="0">
            <wp:extent cx="5667375" cy="36671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667125"/>
                    </a:xfrm>
                    <a:prstGeom prst="rect">
                      <a:avLst/>
                    </a:prstGeom>
                  </pic:spPr>
                </pic:pic>
              </a:graphicData>
            </a:graphic>
          </wp:inline>
        </w:drawing>
      </w:r>
    </w:p>
    <w:p w14:paraId="7CBFC54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0FC3481A">
      <w:pPr>
        <w:jc w:val="center"/>
        <w:rPr>
          <w:rFonts w:ascii="微软雅黑" w:hAnsi="微软雅黑" w:eastAsia="微软雅黑"/>
        </w:rPr>
      </w:pPr>
      <w:bookmarkStart w:id="99" w:name="冬季工况建筑背风面风压云图"/>
      <w:bookmarkEnd w:id="99"/>
      <w:r>
        <w:drawing>
          <wp:inline distT="0" distB="0" distL="0" distR="0">
            <wp:extent cx="5667375" cy="36766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676650"/>
                    </a:xfrm>
                    <a:prstGeom prst="rect">
                      <a:avLst/>
                    </a:prstGeom>
                  </pic:spPr>
                </pic:pic>
              </a:graphicData>
            </a:graphic>
          </wp:inline>
        </w:drawing>
      </w:r>
    </w:p>
    <w:p w14:paraId="493C847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2B045E2A">
      <w:pPr>
        <w:jc w:val="center"/>
        <w:rPr>
          <w:sz w:val="20"/>
        </w:rPr>
      </w:pPr>
      <w:bookmarkStart w:id="100" w:name="建筑迎背风面风压差表_新增"/>
      <w:bookmarkEnd w:id="100"/>
      <w:bookmarkStart w:id="101" w:name="建筑迎背风面风压差表"/>
    </w:p>
    <w:bookmarkEnd w:id="101"/>
    <w:p w14:paraId="5067B35D">
      <w:pPr>
        <w:pStyle w:val="6"/>
      </w:pPr>
      <w:r>
        <w:rPr>
          <w:rFonts w:hint="eastAsia"/>
        </w:rPr>
        <w:t>建筑迎风和背风面风压差结论汇总</w:t>
      </w:r>
    </w:p>
    <w:p w14:paraId="1100447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5D8A7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6D1B9E9C">
            <w:pPr>
              <w:jc w:val="center"/>
              <w:rPr>
                <w:sz w:val="18"/>
                <w:szCs w:val="18"/>
                <w:lang w:val="en-US"/>
              </w:rPr>
            </w:pPr>
            <w:bookmarkStart w:id="102" w:name="建筑迎风和背风面风压差结论汇总表"/>
            <w:r>
              <w:rPr>
                <w:rFonts w:hint="eastAsia"/>
                <w:sz w:val="18"/>
                <w:szCs w:val="18"/>
                <w:lang w:val="en-US"/>
              </w:rPr>
              <w:t>建筑编号</w:t>
            </w:r>
          </w:p>
        </w:tc>
        <w:tc>
          <w:tcPr>
            <w:tcW w:w="1697" w:type="dxa"/>
            <w:shd w:val="clear" w:color="auto" w:fill="E6E6E6"/>
            <w:vAlign w:val="center"/>
          </w:tcPr>
          <w:p w14:paraId="04CD460F">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51BF63B8">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1355F994">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380F0C21">
            <w:pPr>
              <w:jc w:val="center"/>
              <w:rPr>
                <w:sz w:val="18"/>
                <w:szCs w:val="18"/>
                <w:lang w:val="en-US"/>
              </w:rPr>
            </w:pPr>
            <w:r>
              <w:rPr>
                <w:rFonts w:hint="eastAsia"/>
                <w:sz w:val="18"/>
                <w:szCs w:val="18"/>
                <w:lang w:val="en-US"/>
              </w:rPr>
              <w:t>是否达标</w:t>
            </w:r>
          </w:p>
        </w:tc>
      </w:tr>
      <w:tr w14:paraId="7BE7D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D8568B0">
            <w:pPr>
              <w:jc w:val="center"/>
              <w:rPr>
                <w:sz w:val="18"/>
                <w:szCs w:val="18"/>
                <w:lang w:val="en-US"/>
              </w:rPr>
            </w:pPr>
            <w:r>
              <w:rPr>
                <w:sz w:val="18"/>
                <w:szCs w:val="18"/>
                <w:lang w:val="en-US"/>
              </w:rPr>
              <w:t>38#建筑修复版改造后</w:t>
            </w:r>
          </w:p>
        </w:tc>
        <w:tc>
          <w:tcPr>
            <w:tcW w:w="1697" w:type="dxa"/>
            <w:shd w:val="clear" w:color="auto" w:fill="auto"/>
            <w:vAlign w:val="center"/>
          </w:tcPr>
          <w:p w14:paraId="4FEF1616">
            <w:pPr>
              <w:jc w:val="center"/>
              <w:rPr>
                <w:sz w:val="18"/>
                <w:szCs w:val="18"/>
                <w:lang w:val="en-US"/>
              </w:rPr>
            </w:pPr>
            <w:r>
              <w:rPr>
                <w:sz w:val="18"/>
                <w:szCs w:val="18"/>
                <w:lang w:val="en-US"/>
              </w:rPr>
              <w:t>0.12</w:t>
            </w:r>
          </w:p>
        </w:tc>
        <w:tc>
          <w:tcPr>
            <w:tcW w:w="1697" w:type="dxa"/>
            <w:shd w:val="clear" w:color="auto" w:fill="auto"/>
            <w:vAlign w:val="center"/>
          </w:tcPr>
          <w:p w14:paraId="44AD81B8">
            <w:pPr>
              <w:jc w:val="center"/>
              <w:rPr>
                <w:sz w:val="18"/>
                <w:szCs w:val="18"/>
                <w:lang w:val="en-US"/>
              </w:rPr>
            </w:pPr>
            <w:r>
              <w:rPr>
                <w:sz w:val="18"/>
                <w:szCs w:val="18"/>
                <w:lang w:val="en-US"/>
              </w:rPr>
              <w:t>-0.60</w:t>
            </w:r>
          </w:p>
        </w:tc>
        <w:tc>
          <w:tcPr>
            <w:tcW w:w="2401" w:type="dxa"/>
            <w:shd w:val="clear" w:color="auto" w:fill="auto"/>
            <w:vAlign w:val="center"/>
          </w:tcPr>
          <w:p w14:paraId="24436420">
            <w:pPr>
              <w:jc w:val="center"/>
              <w:rPr>
                <w:sz w:val="18"/>
                <w:szCs w:val="18"/>
                <w:lang w:val="en-US"/>
              </w:rPr>
            </w:pPr>
            <w:r>
              <w:rPr>
                <w:sz w:val="18"/>
                <w:szCs w:val="18"/>
                <w:lang w:val="en-US"/>
              </w:rPr>
              <w:t>0.72</w:t>
            </w:r>
          </w:p>
        </w:tc>
        <w:tc>
          <w:tcPr>
            <w:tcW w:w="1151" w:type="dxa"/>
            <w:shd w:val="clear" w:color="auto" w:fill="auto"/>
            <w:vAlign w:val="center"/>
          </w:tcPr>
          <w:p w14:paraId="0444327D">
            <w:pPr>
              <w:jc w:val="center"/>
              <w:rPr>
                <w:sz w:val="18"/>
                <w:szCs w:val="18"/>
                <w:lang w:val="en-US"/>
              </w:rPr>
            </w:pPr>
            <w:r>
              <w:rPr>
                <w:sz w:val="18"/>
                <w:szCs w:val="18"/>
                <w:lang w:val="en-US"/>
              </w:rPr>
              <w:t>是</w:t>
            </w:r>
          </w:p>
        </w:tc>
      </w:tr>
      <w:tr w14:paraId="6BAF2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1DAD87C">
            <w:pPr>
              <w:jc w:val="center"/>
              <w:rPr>
                <w:sz w:val="18"/>
                <w:szCs w:val="18"/>
                <w:lang w:val="en-US"/>
              </w:rPr>
            </w:pPr>
            <w:r>
              <w:rPr>
                <w:sz w:val="18"/>
                <w:szCs w:val="18"/>
                <w:lang w:val="en-US"/>
              </w:rPr>
              <w:t>未命名</w:t>
            </w:r>
          </w:p>
        </w:tc>
        <w:tc>
          <w:tcPr>
            <w:tcW w:w="1697" w:type="dxa"/>
            <w:shd w:val="clear" w:color="auto" w:fill="auto"/>
            <w:vAlign w:val="center"/>
          </w:tcPr>
          <w:p w14:paraId="5BE81FE1">
            <w:pPr>
              <w:jc w:val="center"/>
              <w:rPr>
                <w:sz w:val="18"/>
                <w:szCs w:val="18"/>
                <w:lang w:val="en-US"/>
              </w:rPr>
            </w:pPr>
            <w:r>
              <w:rPr>
                <w:sz w:val="18"/>
                <w:szCs w:val="18"/>
                <w:lang w:val="en-US"/>
              </w:rPr>
              <w:t>0.26</w:t>
            </w:r>
          </w:p>
        </w:tc>
        <w:tc>
          <w:tcPr>
            <w:tcW w:w="1697" w:type="dxa"/>
            <w:shd w:val="clear" w:color="auto" w:fill="auto"/>
            <w:vAlign w:val="center"/>
          </w:tcPr>
          <w:p w14:paraId="1E9080C6">
            <w:pPr>
              <w:jc w:val="center"/>
              <w:rPr>
                <w:sz w:val="18"/>
                <w:szCs w:val="18"/>
                <w:lang w:val="en-US"/>
              </w:rPr>
            </w:pPr>
            <w:r>
              <w:rPr>
                <w:sz w:val="18"/>
                <w:szCs w:val="18"/>
                <w:lang w:val="en-US"/>
              </w:rPr>
              <w:t>-0.72</w:t>
            </w:r>
          </w:p>
        </w:tc>
        <w:tc>
          <w:tcPr>
            <w:tcW w:w="2401" w:type="dxa"/>
            <w:shd w:val="clear" w:color="auto" w:fill="auto"/>
            <w:vAlign w:val="center"/>
          </w:tcPr>
          <w:p w14:paraId="737CD01D">
            <w:pPr>
              <w:jc w:val="center"/>
              <w:rPr>
                <w:sz w:val="18"/>
                <w:szCs w:val="18"/>
                <w:lang w:val="en-US"/>
              </w:rPr>
            </w:pPr>
            <w:r>
              <w:rPr>
                <w:sz w:val="18"/>
                <w:szCs w:val="18"/>
                <w:lang w:val="en-US"/>
              </w:rPr>
              <w:t>0.98</w:t>
            </w:r>
          </w:p>
        </w:tc>
        <w:tc>
          <w:tcPr>
            <w:tcW w:w="1151" w:type="dxa"/>
            <w:shd w:val="clear" w:color="auto" w:fill="auto"/>
            <w:vAlign w:val="center"/>
          </w:tcPr>
          <w:p w14:paraId="447DD3C5">
            <w:pPr>
              <w:jc w:val="center"/>
              <w:rPr>
                <w:sz w:val="18"/>
                <w:szCs w:val="18"/>
                <w:lang w:val="en-US"/>
              </w:rPr>
            </w:pPr>
            <w:r>
              <w:rPr>
                <w:sz w:val="18"/>
                <w:szCs w:val="18"/>
                <w:lang w:val="en-US"/>
              </w:rPr>
              <w:t>不参评</w:t>
            </w:r>
          </w:p>
        </w:tc>
      </w:tr>
      <w:bookmarkEnd w:id="102"/>
    </w:tbl>
    <w:p w14:paraId="37AA6B42">
      <w:pPr>
        <w:rPr>
          <w:lang w:val="en-US"/>
        </w:rPr>
      </w:pPr>
      <w:bookmarkStart w:id="103" w:name="建筑迎风和背风面风压差结论汇总结论"/>
      <w:bookmarkEnd w:id="103"/>
      <w:r>
        <w:rPr>
          <w:lang w:val="en-US"/>
        </w:rPr>
        <w:t>结论：本项目中所有参评建筑</w:t>
      </w:r>
      <w:r>
        <w:rPr>
          <w:b/>
          <w:color w:val="0000FF"/>
          <w:lang w:val="en-US"/>
        </w:rPr>
        <w:t>满足</w:t>
      </w:r>
      <w:r>
        <w:rPr>
          <w:lang w:val="en-US"/>
        </w:rPr>
        <w:t>“除迎风第一排建筑外，建筑迎风面与背风面表面风压差不超过5Pa”的要求。</w:t>
      </w:r>
    </w:p>
    <w:p w14:paraId="5216F33D">
      <w:pPr>
        <w:rPr>
          <w:lang w:val="en-US"/>
        </w:rPr>
      </w:pPr>
      <w:r>
        <w:rPr>
          <w:b/>
          <w:color w:val="000000"/>
          <w:lang w:val="en-US"/>
        </w:rPr>
        <w:t>说明：所有单体建筑各层迎风和背风面风压差信息详见附录。</w:t>
      </w:r>
    </w:p>
    <w:p w14:paraId="48B1F80D">
      <w:pPr>
        <w:rPr>
          <w:rFonts w:hint="eastAsia"/>
          <w:lang w:val="en-US"/>
        </w:rPr>
      </w:pPr>
      <w:bookmarkStart w:id="104" w:name="冬季工况"/>
      <w:bookmarkEnd w:id="104"/>
      <w:r>
        <w:rPr>
          <w:rFonts w:hint="eastAsia"/>
          <w:lang w:val="en-US"/>
        </w:rPr>
        <w:t xml:space="preserve"> </w:t>
      </w:r>
    </w:p>
    <w:p w14:paraId="5BE54015">
      <w:pPr>
        <w:pStyle w:val="4"/>
      </w:pPr>
      <w:bookmarkStart w:id="105" w:name="_Toc509844759"/>
      <w:bookmarkStart w:id="106" w:name="_Toc524"/>
      <w:r>
        <w:rPr>
          <w:rFonts w:hint="eastAsia"/>
        </w:rPr>
        <w:t>夏季工况</w:t>
      </w:r>
      <w:bookmarkEnd w:id="105"/>
      <w:bookmarkEnd w:id="106"/>
    </w:p>
    <w:p w14:paraId="37CB8F87">
      <w:pPr>
        <w:ind w:firstLine="420"/>
      </w:pPr>
      <w:r>
        <w:rPr>
          <w:rFonts w:hint="eastAsia"/>
          <w:lang w:val="en-US"/>
        </w:rPr>
        <w:t>本项目夏季工况的入口边界风速为</w:t>
      </w:r>
      <w:bookmarkStart w:id="107" w:name="入口边界风速"/>
      <w:r>
        <w:rPr>
          <w:rFonts w:hint="eastAsia"/>
          <w:lang w:val="en-US"/>
        </w:rPr>
        <w:t>2.08</w:t>
      </w:r>
      <w:bookmarkEnd w:id="107"/>
      <w:r>
        <w:rPr>
          <w:rFonts w:hint="eastAsia"/>
          <w:lang w:val="en-US"/>
        </w:rPr>
        <w:t>m/s，风向为</w:t>
      </w:r>
      <w:bookmarkStart w:id="108" w:name="入口边界风向"/>
      <w:r>
        <w:t>SSE</w:t>
      </w:r>
      <w:bookmarkEnd w:id="108"/>
      <w:r>
        <w:rPr>
          <w:rFonts w:hint="eastAsia"/>
          <w:lang w:val="en-US"/>
        </w:rPr>
        <w:t>。</w:t>
      </w:r>
    </w:p>
    <w:p w14:paraId="190FD878">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09" w:name="季节4"/>
      <w:r>
        <w:rPr>
          <w:rFonts w:hint="eastAsia"/>
          <w:lang w:val="en-US"/>
        </w:rPr>
        <w:t>夏季</w:t>
      </w:r>
      <w:bookmarkEnd w:id="109"/>
      <w:r>
        <w:rPr>
          <w:rFonts w:hint="eastAsia"/>
          <w:lang w:val="en-US"/>
        </w:rPr>
        <w:t>形成有效的巷道风，优化街区自然通风环境，避免</w:t>
      </w:r>
      <w:bookmarkStart w:id="110" w:name="季节5"/>
      <w:r>
        <w:rPr>
          <w:rFonts w:hint="eastAsia"/>
          <w:lang w:val="en-US"/>
        </w:rPr>
        <w:t>夏季</w:t>
      </w:r>
      <w:bookmarkEnd w:id="110"/>
      <w:r>
        <w:rPr>
          <w:rFonts w:hint="eastAsia"/>
          <w:lang w:val="en-US"/>
        </w:rPr>
        <w:t>人活动区有明显气流旋涡和无风区，从而造成闷热不适感。因此本项目需要分析人活动区的风速，并作出判断。</w:t>
      </w:r>
    </w:p>
    <w:p w14:paraId="22D536B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081A631">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F355102">
      <w:pPr>
        <w:pStyle w:val="5"/>
      </w:pPr>
      <w:bookmarkStart w:id="111" w:name="_Toc509844760"/>
      <w:r>
        <w:rPr>
          <w:rFonts w:hint="eastAsia"/>
        </w:rPr>
        <w:t>无风区计算分析</w:t>
      </w:r>
      <w:bookmarkEnd w:id="111"/>
    </w:p>
    <w:p w14:paraId="203CAD7A">
      <w:pPr>
        <w:pStyle w:val="30"/>
        <w:ind w:firstLine="420"/>
      </w:pPr>
      <w:r>
        <w:rPr>
          <w:rFonts w:hint="eastAsia"/>
        </w:rPr>
        <w:t>下图为整个计算域内风速分布云图，参考图中速度分布可以对项目中建筑布局进行优化。分析下图，</w:t>
      </w:r>
      <w:bookmarkStart w:id="112" w:name="人活动区风速分析结论"/>
      <w:bookmarkEnd w:id="112"/>
      <w:r>
        <w:t>人活动区内未标示出风速</w:t>
      </w:r>
      <w:r>
        <w:rPr>
          <w:color w:val="0000FF"/>
        </w:rPr>
        <w:t>小于</w:t>
      </w:r>
      <w:r>
        <w:t>0.2m/s的超限区域，因此人活动区风速</w:t>
      </w:r>
      <w:r>
        <w:rPr>
          <w:color w:val="0000FF"/>
        </w:rPr>
        <w:t>满足</w:t>
      </w:r>
      <w:r>
        <w:t>绿标要求，项目可采用现有建筑布局。</w:t>
      </w:r>
    </w:p>
    <w:p w14:paraId="50827CC4">
      <w:pPr>
        <w:pStyle w:val="3"/>
        <w:spacing w:after="156" w:afterLines="50"/>
        <w:ind w:firstLine="0" w:firstLineChars="0"/>
        <w:jc w:val="center"/>
        <w:rPr>
          <w:rFonts w:ascii="微软雅黑" w:hAnsi="微软雅黑" w:eastAsia="微软雅黑"/>
        </w:rPr>
      </w:pPr>
      <w:bookmarkStart w:id="113" w:name="人行区风速云图"/>
      <w:bookmarkEnd w:id="113"/>
      <w:r>
        <w:drawing>
          <wp:inline distT="0" distB="0" distL="0" distR="0">
            <wp:extent cx="5667375" cy="37052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05225"/>
                    </a:xfrm>
                    <a:prstGeom prst="rect">
                      <a:avLst/>
                    </a:prstGeom>
                  </pic:spPr>
                </pic:pic>
              </a:graphicData>
            </a:graphic>
          </wp:inline>
        </w:drawing>
      </w:r>
    </w:p>
    <w:p w14:paraId="03E5D4B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07A42D64">
      <w:pPr>
        <w:pStyle w:val="3"/>
        <w:ind w:firstLine="420"/>
        <w:rPr>
          <w:rFonts w:ascii="微软雅黑" w:hAnsi="微软雅黑" w:eastAsia="微软雅黑"/>
        </w:rPr>
      </w:pPr>
    </w:p>
    <w:p w14:paraId="678CF350">
      <w:pPr>
        <w:pStyle w:val="5"/>
      </w:pPr>
      <w:bookmarkStart w:id="114" w:name="_Toc509844761"/>
      <w:r>
        <w:rPr>
          <w:rFonts w:hint="eastAsia"/>
        </w:rPr>
        <w:t>旋涡区分析</w:t>
      </w:r>
      <w:bookmarkEnd w:id="114"/>
    </w:p>
    <w:p w14:paraId="63F251B1">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D2F11BF">
      <w:pPr>
        <w:pStyle w:val="3"/>
        <w:ind w:firstLine="0" w:firstLineChars="0"/>
        <w:jc w:val="center"/>
        <w:rPr>
          <w:rFonts w:ascii="微软雅黑" w:hAnsi="微软雅黑" w:eastAsia="微软雅黑"/>
          <w:lang w:val="en-US"/>
        </w:rPr>
      </w:pPr>
      <w:bookmarkStart w:id="115" w:name="人行区风速矢量图"/>
      <w:bookmarkEnd w:id="115"/>
      <w:r>
        <w:drawing>
          <wp:inline distT="0" distB="0" distL="0" distR="0">
            <wp:extent cx="566737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05225"/>
                    </a:xfrm>
                    <a:prstGeom prst="rect">
                      <a:avLst/>
                    </a:prstGeom>
                  </pic:spPr>
                </pic:pic>
              </a:graphicData>
            </a:graphic>
          </wp:inline>
        </w:drawing>
      </w:r>
    </w:p>
    <w:p w14:paraId="7FAAAA4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07C93F90">
      <w:pPr>
        <w:pStyle w:val="3"/>
        <w:ind w:firstLine="420"/>
        <w:rPr>
          <w:rFonts w:ascii="微软雅黑" w:hAnsi="微软雅黑" w:eastAsia="微软雅黑"/>
          <w:lang w:val="en-US"/>
        </w:rPr>
      </w:pPr>
    </w:p>
    <w:p w14:paraId="5351CD31">
      <w:pPr>
        <w:pStyle w:val="5"/>
      </w:pPr>
      <w:bookmarkStart w:id="116" w:name="_Toc509844762"/>
      <w:r>
        <w:rPr>
          <w:rFonts w:hint="eastAsia"/>
        </w:rPr>
        <w:t>旋涡区/无风区达标</w:t>
      </w:r>
      <w:bookmarkEnd w:id="116"/>
      <w:r>
        <w:rPr>
          <w:rFonts w:hint="eastAsia"/>
        </w:rPr>
        <w:t>结果汇总</w:t>
      </w:r>
    </w:p>
    <w:p w14:paraId="3D1DFC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7" w:name="季节8"/>
      <w:r>
        <w:rPr>
          <w:rFonts w:hint="eastAsia" w:ascii="微软雅黑" w:hAnsi="微软雅黑" w:eastAsia="微软雅黑"/>
          <w:sz w:val="18"/>
          <w:szCs w:val="18"/>
        </w:rPr>
        <w:t>夏季</w:t>
      </w:r>
      <w:bookmarkEnd w:id="117"/>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2F1A3FB9">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AA47BA">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C96909F">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8D940A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7D11E87">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76F4AD6D">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0C8D838">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075A274C">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D2F771C">
            <w:pPr>
              <w:spacing w:line="440" w:lineRule="exact"/>
              <w:jc w:val="center"/>
              <w:rPr>
                <w:rFonts w:cs="宋体"/>
                <w:color w:val="000000"/>
                <w:sz w:val="18"/>
                <w:szCs w:val="18"/>
                <w:lang w:val="en-US"/>
              </w:rPr>
            </w:pPr>
            <w:bookmarkStart w:id="118" w:name="是否有无风区"/>
            <w:r>
              <w:rPr>
                <w:rFonts w:hint="eastAsia" w:cs="宋体"/>
                <w:color w:val="000000"/>
                <w:sz w:val="18"/>
                <w:szCs w:val="18"/>
                <w:lang w:val="en-US"/>
              </w:rPr>
              <w:t>否</w:t>
            </w:r>
            <w:bookmarkEnd w:id="118"/>
          </w:p>
        </w:tc>
        <w:tc>
          <w:tcPr>
            <w:tcW w:w="1702" w:type="dxa"/>
            <w:tcBorders>
              <w:top w:val="nil"/>
              <w:left w:val="nil"/>
              <w:bottom w:val="single" w:color="auto" w:sz="4" w:space="0"/>
              <w:right w:val="single" w:color="auto" w:sz="4" w:space="0"/>
            </w:tcBorders>
            <w:shd w:val="clear" w:color="auto" w:fill="auto"/>
            <w:noWrap/>
            <w:vAlign w:val="center"/>
          </w:tcPr>
          <w:p w14:paraId="00D42F0B">
            <w:pPr>
              <w:spacing w:line="440" w:lineRule="exact"/>
              <w:jc w:val="center"/>
              <w:rPr>
                <w:rFonts w:cs="宋体"/>
                <w:color w:val="000000"/>
                <w:sz w:val="18"/>
                <w:szCs w:val="18"/>
                <w:lang w:val="en-US"/>
              </w:rPr>
            </w:pPr>
            <w:bookmarkStart w:id="119" w:name="无风区达标判断"/>
            <w:r>
              <w:rPr>
                <w:rFonts w:hint="eastAsia" w:cs="宋体"/>
                <w:color w:val="000000"/>
                <w:sz w:val="18"/>
                <w:szCs w:val="18"/>
                <w:lang w:val="en-US"/>
              </w:rPr>
              <w:t>是</w:t>
            </w:r>
            <w:bookmarkEnd w:id="119"/>
          </w:p>
        </w:tc>
      </w:tr>
      <w:tr w14:paraId="0A327D3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29AB9FFE">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5DDDA395">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D9FA5BC">
            <w:pPr>
              <w:spacing w:line="440" w:lineRule="exact"/>
              <w:jc w:val="center"/>
              <w:rPr>
                <w:rFonts w:cs="宋体"/>
                <w:color w:val="000000"/>
                <w:sz w:val="18"/>
                <w:szCs w:val="18"/>
                <w:lang w:val="en-US"/>
              </w:rPr>
            </w:pPr>
            <w:bookmarkStart w:id="120" w:name="是否有旋涡区"/>
            <w:r>
              <w:rPr>
                <w:rFonts w:cs="宋体"/>
                <w:color w:val="000000"/>
                <w:sz w:val="18"/>
                <w:szCs w:val="18"/>
                <w:lang w:val="en-US"/>
              </w:rPr>
              <w:t>否</w:t>
            </w:r>
            <w:bookmarkEnd w:id="120"/>
          </w:p>
        </w:tc>
        <w:tc>
          <w:tcPr>
            <w:tcW w:w="1702" w:type="dxa"/>
            <w:tcBorders>
              <w:top w:val="nil"/>
              <w:left w:val="nil"/>
              <w:bottom w:val="single" w:color="auto" w:sz="4" w:space="0"/>
              <w:right w:val="single" w:color="auto" w:sz="4" w:space="0"/>
            </w:tcBorders>
            <w:shd w:val="clear" w:color="auto" w:fill="auto"/>
            <w:noWrap/>
            <w:vAlign w:val="center"/>
          </w:tcPr>
          <w:p w14:paraId="3DB1C87A">
            <w:pPr>
              <w:spacing w:line="440" w:lineRule="exact"/>
              <w:jc w:val="center"/>
              <w:rPr>
                <w:rFonts w:cs="宋体"/>
                <w:color w:val="000000"/>
                <w:sz w:val="18"/>
                <w:szCs w:val="18"/>
                <w:lang w:val="en-US"/>
              </w:rPr>
            </w:pPr>
            <w:bookmarkStart w:id="121" w:name="旋涡区达标判断"/>
            <w:r>
              <w:rPr>
                <w:rFonts w:cs="宋体"/>
                <w:color w:val="000000"/>
                <w:sz w:val="18"/>
                <w:szCs w:val="18"/>
                <w:lang w:val="en-US"/>
              </w:rPr>
              <w:t>是</w:t>
            </w:r>
            <w:bookmarkEnd w:id="121"/>
          </w:p>
        </w:tc>
      </w:tr>
    </w:tbl>
    <w:p w14:paraId="354ABA1C">
      <w:pPr>
        <w:pStyle w:val="5"/>
      </w:pPr>
      <w:bookmarkStart w:id="122" w:name="_Toc504501018"/>
      <w:bookmarkStart w:id="123" w:name="_Toc509844763"/>
      <w:r>
        <w:rPr>
          <w:rFonts w:hint="eastAsia"/>
        </w:rPr>
        <w:t>外窗内外表面风压</w:t>
      </w:r>
      <w:bookmarkEnd w:id="122"/>
      <w:r>
        <w:rPr>
          <w:rFonts w:hint="eastAsia"/>
        </w:rPr>
        <w:t>差达标分析</w:t>
      </w:r>
      <w:bookmarkEnd w:id="123"/>
    </w:p>
    <w:p w14:paraId="3AFC2D3C">
      <w:pPr>
        <w:ind w:firstLine="420"/>
      </w:pPr>
      <w:r>
        <w:rPr>
          <w:rFonts w:hint="eastAsia"/>
          <w:lang w:val="en-US"/>
        </w:rPr>
        <w:t>分析《绿色建筑评价标准》，</w:t>
      </w:r>
      <w:bookmarkStart w:id="124" w:name="季节9"/>
      <w:r>
        <w:rPr>
          <w:rFonts w:hint="eastAsia"/>
          <w:lang w:val="en-US"/>
        </w:rPr>
        <w:t>夏季</w:t>
      </w:r>
      <w:bookmarkEnd w:id="124"/>
      <w:r>
        <w:rPr>
          <w:rFonts w:hint="eastAsia"/>
          <w:lang w:val="en-US"/>
        </w:rPr>
        <w:t>为充分利用自然通风获得良好的室内风环境，要求50%以上可开启外窗室内外表面的风压差大于0.5Pa。</w:t>
      </w:r>
    </w:p>
    <w:p w14:paraId="5E1808BE">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2A9A35C">
      <w:pPr>
        <w:ind w:firstLine="420"/>
      </w:pPr>
      <w:r>
        <w:rPr>
          <w:rFonts w:hint="eastAsia"/>
          <w:lang w:val="en-US"/>
        </w:rPr>
        <w:t>下图为夏季工况下，建筑迎风面和背风面对应外窗表面的风压分布图，结合图例数值可以清晰看到外窗表面风压小于0.5Pa的外窗区域。</w:t>
      </w:r>
    </w:p>
    <w:p w14:paraId="7ED9CFB2">
      <w:pPr>
        <w:pStyle w:val="3"/>
        <w:ind w:firstLine="0" w:firstLineChars="0"/>
        <w:jc w:val="center"/>
        <w:rPr>
          <w:rFonts w:ascii="微软雅黑" w:hAnsi="微软雅黑" w:eastAsia="微软雅黑"/>
        </w:rPr>
      </w:pPr>
      <w:bookmarkStart w:id="125" w:name="迎风面风压云图"/>
      <w:bookmarkEnd w:id="125"/>
      <w:r>
        <w:drawing>
          <wp:inline distT="0" distB="0" distL="0" distR="0">
            <wp:extent cx="5667375" cy="36671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667125"/>
                    </a:xfrm>
                    <a:prstGeom prst="rect">
                      <a:avLst/>
                    </a:prstGeom>
                  </pic:spPr>
                </pic:pic>
              </a:graphicData>
            </a:graphic>
          </wp:inline>
        </w:drawing>
      </w:r>
    </w:p>
    <w:p w14:paraId="7951301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6" w:name="季节10"/>
      <w:r>
        <w:rPr>
          <w:rFonts w:hint="eastAsia" w:ascii="微软雅黑" w:hAnsi="微软雅黑" w:eastAsia="微软雅黑"/>
          <w:sz w:val="18"/>
          <w:szCs w:val="18"/>
        </w:rPr>
        <w:t>夏季</w:t>
      </w:r>
      <w:bookmarkEnd w:id="126"/>
    </w:p>
    <w:p w14:paraId="677EB0DD">
      <w:pPr>
        <w:jc w:val="center"/>
        <w:rPr>
          <w:rFonts w:ascii="微软雅黑" w:hAnsi="微软雅黑" w:eastAsia="微软雅黑"/>
          <w:sz w:val="21"/>
        </w:rPr>
      </w:pPr>
      <w:bookmarkStart w:id="127" w:name="背风面风压云图"/>
      <w:bookmarkEnd w:id="127"/>
      <w:r>
        <w:drawing>
          <wp:inline distT="0" distB="0" distL="0" distR="0">
            <wp:extent cx="5667375" cy="3676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676650"/>
                    </a:xfrm>
                    <a:prstGeom prst="rect">
                      <a:avLst/>
                    </a:prstGeom>
                  </pic:spPr>
                </pic:pic>
              </a:graphicData>
            </a:graphic>
          </wp:inline>
        </w:drawing>
      </w:r>
    </w:p>
    <w:p w14:paraId="1588C5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28" w:name="季节11"/>
      <w:r>
        <w:rPr>
          <w:rFonts w:hint="eastAsia" w:ascii="微软雅黑" w:hAnsi="微软雅黑" w:eastAsia="微软雅黑"/>
          <w:sz w:val="18"/>
          <w:szCs w:val="18"/>
        </w:rPr>
        <w:t>夏季</w:t>
      </w:r>
      <w:bookmarkEnd w:id="128"/>
      <w:r>
        <w:rPr>
          <w:rFonts w:hint="eastAsia" w:ascii="微软雅黑" w:hAnsi="微软雅黑" w:eastAsia="微软雅黑"/>
          <w:sz w:val="18"/>
          <w:szCs w:val="18"/>
        </w:rPr>
        <w:t xml:space="preserve"> </w:t>
      </w:r>
    </w:p>
    <w:p w14:paraId="436641D4">
      <w:pPr>
        <w:ind w:firstLine="420"/>
      </w:pPr>
      <w:r>
        <w:rPr>
          <w:rFonts w:hint="eastAsia"/>
        </w:rPr>
        <w:t>下表为依据上图提取的外窗外表面平均风压数据，相当于外窗室内外表面风压差数据，并依据标准做出达标判断：</w:t>
      </w:r>
    </w:p>
    <w:p w14:paraId="58C5270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761AB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215764D2">
            <w:pPr>
              <w:jc w:val="center"/>
              <w:rPr>
                <w:sz w:val="18"/>
                <w:szCs w:val="18"/>
                <w:lang w:val="en-US"/>
              </w:rPr>
            </w:pPr>
            <w:bookmarkStart w:id="129" w:name="建筑外窗室内外风压差达标判定"/>
            <w:r>
              <w:rPr>
                <w:rFonts w:hint="eastAsia"/>
                <w:sz w:val="18"/>
                <w:szCs w:val="18"/>
                <w:lang w:val="en-US"/>
              </w:rPr>
              <w:t>建筑编号</w:t>
            </w:r>
          </w:p>
        </w:tc>
        <w:tc>
          <w:tcPr>
            <w:tcW w:w="1843" w:type="dxa"/>
            <w:shd w:val="clear" w:color="auto" w:fill="E6E6E6"/>
            <w:vAlign w:val="center"/>
          </w:tcPr>
          <w:p w14:paraId="5706FFF1">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051EE79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133B46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24E6D3B">
            <w:pPr>
              <w:jc w:val="center"/>
              <w:rPr>
                <w:sz w:val="18"/>
                <w:szCs w:val="18"/>
                <w:lang w:val="en-US"/>
              </w:rPr>
            </w:pPr>
            <w:r>
              <w:rPr>
                <w:rFonts w:hint="eastAsia"/>
                <w:sz w:val="18"/>
                <w:szCs w:val="18"/>
                <w:lang w:val="en-US"/>
              </w:rPr>
              <w:t>是否达标</w:t>
            </w:r>
          </w:p>
        </w:tc>
      </w:tr>
      <w:tr w14:paraId="1FA30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0C2854D">
            <w:pPr>
              <w:jc w:val="center"/>
              <w:rPr>
                <w:sz w:val="18"/>
                <w:szCs w:val="18"/>
                <w:lang w:val="en-US"/>
              </w:rPr>
            </w:pPr>
            <w:r>
              <w:rPr>
                <w:sz w:val="18"/>
                <w:szCs w:val="18"/>
                <w:lang w:val="en-US"/>
              </w:rPr>
              <w:t>38#建筑修复版改造后</w:t>
            </w:r>
          </w:p>
        </w:tc>
        <w:tc>
          <w:tcPr>
            <w:tcW w:w="1843" w:type="dxa"/>
            <w:shd w:val="clear" w:color="auto" w:fill="auto"/>
            <w:vAlign w:val="center"/>
          </w:tcPr>
          <w:p w14:paraId="5BFDF7CF">
            <w:pPr>
              <w:jc w:val="center"/>
              <w:rPr>
                <w:sz w:val="18"/>
                <w:szCs w:val="18"/>
                <w:lang w:val="en-US"/>
              </w:rPr>
            </w:pPr>
            <w:r>
              <w:rPr>
                <w:sz w:val="18"/>
                <w:szCs w:val="18"/>
                <w:lang w:val="en-US"/>
              </w:rPr>
              <w:t>293</w:t>
            </w:r>
          </w:p>
        </w:tc>
        <w:tc>
          <w:tcPr>
            <w:tcW w:w="2552" w:type="dxa"/>
            <w:shd w:val="clear" w:color="auto" w:fill="auto"/>
            <w:vAlign w:val="center"/>
          </w:tcPr>
          <w:p w14:paraId="7FF66C12">
            <w:pPr>
              <w:jc w:val="center"/>
              <w:rPr>
                <w:sz w:val="18"/>
                <w:szCs w:val="18"/>
                <w:lang w:val="en-US"/>
              </w:rPr>
            </w:pPr>
            <w:r>
              <w:rPr>
                <w:sz w:val="18"/>
                <w:szCs w:val="18"/>
                <w:lang w:val="en-US"/>
              </w:rPr>
              <w:t>193</w:t>
            </w:r>
          </w:p>
        </w:tc>
        <w:tc>
          <w:tcPr>
            <w:tcW w:w="1559" w:type="dxa"/>
            <w:shd w:val="clear" w:color="auto" w:fill="auto"/>
            <w:vAlign w:val="center"/>
          </w:tcPr>
          <w:p w14:paraId="43CAEB1E">
            <w:pPr>
              <w:jc w:val="center"/>
              <w:rPr>
                <w:sz w:val="18"/>
                <w:szCs w:val="18"/>
                <w:lang w:val="en-US"/>
              </w:rPr>
            </w:pPr>
            <w:r>
              <w:rPr>
                <w:sz w:val="18"/>
                <w:szCs w:val="18"/>
                <w:lang w:val="en-US"/>
              </w:rPr>
              <w:t>65.87</w:t>
            </w:r>
          </w:p>
        </w:tc>
        <w:tc>
          <w:tcPr>
            <w:tcW w:w="1276" w:type="dxa"/>
            <w:shd w:val="clear" w:color="auto" w:fill="auto"/>
            <w:vAlign w:val="center"/>
          </w:tcPr>
          <w:p w14:paraId="6AB58935">
            <w:pPr>
              <w:jc w:val="center"/>
              <w:rPr>
                <w:sz w:val="18"/>
                <w:szCs w:val="18"/>
                <w:lang w:val="en-US"/>
              </w:rPr>
            </w:pPr>
            <w:r>
              <w:rPr>
                <w:sz w:val="18"/>
                <w:szCs w:val="18"/>
                <w:lang w:val="en-US"/>
              </w:rPr>
              <w:t>是</w:t>
            </w:r>
          </w:p>
        </w:tc>
      </w:tr>
      <w:bookmarkEnd w:id="129"/>
    </w:tbl>
    <w:p w14:paraId="0BEB2E34">
      <w:pPr>
        <w:rPr>
          <w:sz w:val="18"/>
          <w:szCs w:val="18"/>
        </w:rPr>
      </w:pPr>
      <w:r>
        <w:rPr>
          <w:rFonts w:hint="eastAsia"/>
          <w:sz w:val="18"/>
          <w:szCs w:val="18"/>
          <w:lang w:val="en-US"/>
        </w:rPr>
        <w:t>说明：达标比例＝（室内外风压差大于0.5Pa的总数/可开启外窗总数）*100％</w:t>
      </w:r>
    </w:p>
    <w:p w14:paraId="033AA083">
      <w:pPr>
        <w:rPr>
          <w:lang w:val="en-US"/>
        </w:rPr>
      </w:pPr>
    </w:p>
    <w:p w14:paraId="5A93A8D6">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73C445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093A0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643B7D6">
            <w:pPr>
              <w:spacing w:line="440" w:lineRule="exact"/>
              <w:jc w:val="center"/>
              <w:rPr>
                <w:sz w:val="18"/>
                <w:szCs w:val="18"/>
                <w:lang w:val="en-US"/>
              </w:rPr>
            </w:pPr>
            <w:bookmarkStart w:id="130" w:name="建筑室内外风压差达标判定"/>
            <w:r>
              <w:rPr>
                <w:rFonts w:hint="eastAsia"/>
                <w:sz w:val="18"/>
                <w:szCs w:val="18"/>
                <w:lang w:val="en-US"/>
              </w:rPr>
              <w:t>建筑编号</w:t>
            </w:r>
          </w:p>
        </w:tc>
        <w:tc>
          <w:tcPr>
            <w:tcW w:w="1335" w:type="dxa"/>
            <w:shd w:val="clear" w:color="auto" w:fill="E6E6E6"/>
            <w:vAlign w:val="center"/>
          </w:tcPr>
          <w:p w14:paraId="1D4ACF1F">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4A565E30">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10AC3A4">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7B380DD3">
            <w:pPr>
              <w:spacing w:line="440" w:lineRule="exact"/>
              <w:jc w:val="center"/>
              <w:rPr>
                <w:sz w:val="18"/>
                <w:szCs w:val="18"/>
                <w:lang w:val="en-US"/>
              </w:rPr>
            </w:pPr>
            <w:r>
              <w:rPr>
                <w:rFonts w:hint="eastAsia"/>
                <w:sz w:val="18"/>
                <w:szCs w:val="18"/>
                <w:lang w:val="en-US"/>
              </w:rPr>
              <w:t>是否达标</w:t>
            </w:r>
          </w:p>
        </w:tc>
      </w:tr>
      <w:tr w14:paraId="5407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827187B">
            <w:pPr>
              <w:spacing w:line="440" w:lineRule="exact"/>
              <w:jc w:val="center"/>
              <w:rPr>
                <w:sz w:val="18"/>
                <w:szCs w:val="18"/>
                <w:lang w:val="en-US"/>
              </w:rPr>
            </w:pPr>
            <w:r>
              <w:rPr>
                <w:sz w:val="18"/>
                <w:szCs w:val="18"/>
                <w:lang w:val="en-US"/>
              </w:rPr>
              <w:t>未命名</w:t>
            </w:r>
          </w:p>
        </w:tc>
        <w:tc>
          <w:tcPr>
            <w:tcW w:w="1335" w:type="dxa"/>
            <w:vAlign w:val="center"/>
          </w:tcPr>
          <w:p w14:paraId="7E50FD55">
            <w:pPr>
              <w:spacing w:line="440" w:lineRule="exact"/>
              <w:jc w:val="center"/>
              <w:rPr>
                <w:sz w:val="18"/>
                <w:szCs w:val="18"/>
                <w:lang w:val="en-US"/>
              </w:rPr>
            </w:pPr>
            <w:r>
              <w:rPr>
                <w:sz w:val="18"/>
                <w:szCs w:val="18"/>
                <w:lang w:val="en-US"/>
              </w:rPr>
              <w:t>10937.20</w:t>
            </w:r>
          </w:p>
        </w:tc>
        <w:tc>
          <w:tcPr>
            <w:tcW w:w="3484" w:type="dxa"/>
            <w:vAlign w:val="center"/>
          </w:tcPr>
          <w:p w14:paraId="650384FE">
            <w:pPr>
              <w:spacing w:line="440" w:lineRule="exact"/>
              <w:jc w:val="center"/>
              <w:rPr>
                <w:sz w:val="18"/>
                <w:szCs w:val="18"/>
                <w:lang w:val="en-US"/>
              </w:rPr>
            </w:pPr>
            <w:r>
              <w:rPr>
                <w:sz w:val="18"/>
                <w:szCs w:val="18"/>
                <w:lang w:val="en-US"/>
              </w:rPr>
              <w:t>8870.44</w:t>
            </w:r>
          </w:p>
        </w:tc>
        <w:tc>
          <w:tcPr>
            <w:tcW w:w="1085" w:type="dxa"/>
            <w:vAlign w:val="center"/>
          </w:tcPr>
          <w:p w14:paraId="45FF50B1">
            <w:pPr>
              <w:spacing w:line="440" w:lineRule="exact"/>
              <w:jc w:val="center"/>
              <w:rPr>
                <w:sz w:val="18"/>
                <w:szCs w:val="18"/>
                <w:lang w:val="en-US"/>
              </w:rPr>
            </w:pPr>
            <w:r>
              <w:rPr>
                <w:sz w:val="18"/>
                <w:szCs w:val="18"/>
                <w:lang w:val="en-US"/>
              </w:rPr>
              <w:t>81.10</w:t>
            </w:r>
          </w:p>
        </w:tc>
        <w:tc>
          <w:tcPr>
            <w:tcW w:w="1042" w:type="dxa"/>
            <w:vAlign w:val="center"/>
          </w:tcPr>
          <w:p w14:paraId="7AA98C9C">
            <w:pPr>
              <w:spacing w:line="440" w:lineRule="exact"/>
              <w:jc w:val="center"/>
              <w:rPr>
                <w:sz w:val="18"/>
                <w:szCs w:val="18"/>
                <w:lang w:val="en-US"/>
              </w:rPr>
            </w:pPr>
            <w:r>
              <w:rPr>
                <w:sz w:val="18"/>
                <w:szCs w:val="18"/>
                <w:lang w:val="en-US"/>
              </w:rPr>
              <w:t>是</w:t>
            </w:r>
          </w:p>
        </w:tc>
      </w:tr>
      <w:bookmarkEnd w:id="130"/>
    </w:tbl>
    <w:p w14:paraId="4A563AA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2B48FFB7">
      <w:r>
        <w:rPr>
          <w:rFonts w:hint="eastAsia"/>
        </w:rPr>
        <w:t xml:space="preserve"> </w:t>
      </w:r>
    </w:p>
    <w:p w14:paraId="1363E3B5">
      <w:pPr>
        <w:ind w:firstLine="420"/>
        <w:rPr>
          <w:lang w:val="en-US"/>
        </w:rPr>
      </w:pPr>
      <w:bookmarkStart w:id="131" w:name="建筑室内外风压差达标判定结论"/>
      <w:r>
        <w:rPr>
          <w:rFonts w:hint="eastAsia"/>
          <w:lang w:val="en-US"/>
        </w:rPr>
        <w:t>结论：本项目中所有建筑均满足“50%以上可开启外窗室内外表面的风压差大于0.5Pa”的要求。</w:t>
      </w:r>
      <w:bookmarkEnd w:id="131"/>
      <w:r>
        <w:rPr>
          <w:rFonts w:hint="eastAsia"/>
          <w:lang w:val="en-US"/>
        </w:rPr>
        <w:t xml:space="preserve"> </w:t>
      </w:r>
    </w:p>
    <w:p w14:paraId="2B429B9F">
      <w:pPr>
        <w:pStyle w:val="4"/>
      </w:pPr>
      <w:bookmarkStart w:id="132" w:name="_Toc19120"/>
      <w:r>
        <w:rPr>
          <w:rFonts w:hint="eastAsia"/>
        </w:rPr>
        <w:t>过渡季工况</w:t>
      </w:r>
      <w:bookmarkEnd w:id="132"/>
    </w:p>
    <w:p w14:paraId="22742200">
      <w:pPr>
        <w:ind w:firstLine="420"/>
      </w:pPr>
      <w:r>
        <w:rPr>
          <w:rFonts w:hint="eastAsia"/>
          <w:lang w:val="en-US"/>
        </w:rPr>
        <w:t>本项目过渡季工况的入口边界风速为2.52</w:t>
      </w:r>
      <w:bookmarkEnd w:id="3"/>
      <w:r>
        <w:rPr>
          <w:rFonts w:hint="eastAsia"/>
          <w:lang w:val="en-US"/>
        </w:rPr>
        <w:t>m/s，风向为</w:t>
      </w:r>
      <w:r>
        <w:t>NNW</w:t>
      </w:r>
      <w:bookmarkEnd w:id="4"/>
      <w:r>
        <w:rPr>
          <w:rFonts w:hint="eastAsia"/>
          <w:lang w:val="en-US"/>
        </w:rPr>
        <w:t>。</w:t>
      </w:r>
    </w:p>
    <w:p w14:paraId="1254C408">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63F93868">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635371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7B39D0C5">
      <w:pPr>
        <w:pStyle w:val="5"/>
      </w:pPr>
      <w:r>
        <w:rPr>
          <w:rFonts w:hint="eastAsia"/>
        </w:rPr>
        <w:t>无风区计算分析</w:t>
      </w:r>
      <w:bookmarkEnd w:id="8"/>
    </w:p>
    <w:p w14:paraId="368C2841">
      <w:pPr>
        <w:pStyle w:val="30"/>
        <w:ind w:firstLine="420"/>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7E2E7051">
      <w:pPr>
        <w:pStyle w:val="3"/>
        <w:spacing w:after="156" w:afterLines="50"/>
        <w:ind w:firstLine="0" w:firstLineChars="0"/>
        <w:jc w:val="center"/>
        <w:rPr>
          <w:rFonts w:ascii="微软雅黑" w:hAnsi="微软雅黑" w:eastAsia="微软雅黑"/>
        </w:rPr>
      </w:pPr>
      <w:r>
        <w:drawing>
          <wp:inline distT="0" distB="0" distL="0" distR="0">
            <wp:extent cx="5667375" cy="37052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05225"/>
                    </a:xfrm>
                    <a:prstGeom prst="rect">
                      <a:avLst/>
                    </a:prstGeom>
                  </pic:spPr>
                </pic:pic>
              </a:graphicData>
            </a:graphic>
          </wp:inline>
        </w:drawing>
      </w:r>
    </w:p>
    <w:p w14:paraId="1B7FB7E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28B52193">
      <w:pPr>
        <w:pStyle w:val="3"/>
        <w:ind w:firstLine="420"/>
        <w:rPr>
          <w:rFonts w:ascii="微软雅黑" w:hAnsi="微软雅黑" w:eastAsia="微软雅黑"/>
        </w:rPr>
      </w:pPr>
    </w:p>
    <w:p w14:paraId="40B7C390">
      <w:pPr>
        <w:pStyle w:val="5"/>
      </w:pPr>
      <w:r>
        <w:rPr>
          <w:rFonts w:hint="eastAsia"/>
        </w:rPr>
        <w:t>旋涡区分析</w:t>
      </w:r>
      <w:bookmarkEnd w:id="10"/>
    </w:p>
    <w:p w14:paraId="3362815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6A4B0A0C">
      <w:pPr>
        <w:pStyle w:val="3"/>
        <w:ind w:firstLine="0" w:firstLineChars="0"/>
        <w:jc w:val="center"/>
        <w:rPr>
          <w:rFonts w:ascii="微软雅黑" w:hAnsi="微软雅黑" w:eastAsia="微软雅黑"/>
          <w:lang w:val="en-US"/>
        </w:rPr>
      </w:pPr>
      <w:r>
        <w:drawing>
          <wp:inline distT="0" distB="0" distL="0" distR="0">
            <wp:extent cx="5667375" cy="3705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05225"/>
                    </a:xfrm>
                    <a:prstGeom prst="rect">
                      <a:avLst/>
                    </a:prstGeom>
                  </pic:spPr>
                </pic:pic>
              </a:graphicData>
            </a:graphic>
          </wp:inline>
        </w:drawing>
      </w:r>
    </w:p>
    <w:p w14:paraId="73E771D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52CE038">
      <w:pPr>
        <w:pStyle w:val="3"/>
        <w:ind w:firstLine="420"/>
        <w:rPr>
          <w:rFonts w:ascii="微软雅黑" w:hAnsi="微软雅黑" w:eastAsia="微软雅黑"/>
          <w:lang w:val="en-US"/>
        </w:rPr>
      </w:pPr>
    </w:p>
    <w:p w14:paraId="15716768">
      <w:pPr>
        <w:pStyle w:val="5"/>
      </w:pPr>
      <w:r>
        <w:rPr>
          <w:rFonts w:hint="eastAsia"/>
        </w:rPr>
        <w:t>旋涡区/无风区达标</w:t>
      </w:r>
      <w:bookmarkEnd w:id="13"/>
      <w:r>
        <w:rPr>
          <w:rFonts w:hint="eastAsia"/>
        </w:rPr>
        <w:t>结果汇总</w:t>
      </w:r>
    </w:p>
    <w:p w14:paraId="2300AE7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372D3E19">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064813">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12730E4">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247EB91C">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3061B9FF">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63741A74">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A1EFF47">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7526EAA5">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2FD5BE1">
            <w:pPr>
              <w:spacing w:line="440" w:lineRule="exact"/>
              <w:jc w:val="center"/>
              <w:rPr>
                <w:rFonts w:cs="宋体"/>
                <w:color w:val="000000"/>
                <w:sz w:val="18"/>
                <w:szCs w:val="18"/>
                <w:lang w:val="en-US"/>
              </w:rPr>
            </w:pPr>
            <w:r>
              <w:rPr>
                <w:rFonts w:hint="eastAsia" w:cs="宋体"/>
                <w:color w:val="000000"/>
                <w:sz w:val="18"/>
                <w:szCs w:val="18"/>
                <w:lang w:val="en-US"/>
              </w:rPr>
              <w:t>否</w:t>
            </w:r>
            <w:bookmarkEnd w:id="14"/>
          </w:p>
        </w:tc>
        <w:tc>
          <w:tcPr>
            <w:tcW w:w="1702" w:type="dxa"/>
            <w:tcBorders>
              <w:top w:val="nil"/>
              <w:left w:val="nil"/>
              <w:bottom w:val="single" w:color="auto" w:sz="4" w:space="0"/>
              <w:right w:val="single" w:color="auto" w:sz="4" w:space="0"/>
            </w:tcBorders>
            <w:shd w:val="clear" w:color="auto" w:fill="auto"/>
            <w:noWrap/>
            <w:vAlign w:val="center"/>
          </w:tcPr>
          <w:p w14:paraId="3346125E">
            <w:pPr>
              <w:spacing w:line="440" w:lineRule="exact"/>
              <w:jc w:val="center"/>
              <w:rPr>
                <w:rFonts w:cs="宋体"/>
                <w:color w:val="000000"/>
                <w:sz w:val="18"/>
                <w:szCs w:val="18"/>
                <w:lang w:val="en-US"/>
              </w:rPr>
            </w:pPr>
            <w:r>
              <w:rPr>
                <w:rFonts w:hint="eastAsia" w:cs="宋体"/>
                <w:color w:val="000000"/>
                <w:sz w:val="18"/>
                <w:szCs w:val="18"/>
                <w:lang w:val="en-US"/>
              </w:rPr>
              <w:t>是</w:t>
            </w:r>
            <w:bookmarkEnd w:id="16"/>
          </w:p>
        </w:tc>
      </w:tr>
      <w:tr w14:paraId="4B319DC8">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00BA84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7C4C8776">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F890487">
            <w:pPr>
              <w:spacing w:line="440" w:lineRule="exact"/>
              <w:jc w:val="center"/>
              <w:rPr>
                <w:rFonts w:cs="宋体"/>
                <w:color w:val="000000"/>
                <w:sz w:val="18"/>
                <w:szCs w:val="18"/>
                <w:lang w:val="en-US"/>
              </w:rPr>
            </w:pPr>
            <w:r>
              <w:rPr>
                <w:rFonts w:cs="宋体"/>
                <w:color w:val="000000"/>
                <w:sz w:val="18"/>
                <w:szCs w:val="18"/>
                <w:lang w:val="en-US"/>
              </w:rPr>
              <w:t>否</w:t>
            </w:r>
          </w:p>
        </w:tc>
        <w:tc>
          <w:tcPr>
            <w:tcW w:w="1702" w:type="dxa"/>
            <w:tcBorders>
              <w:top w:val="nil"/>
              <w:left w:val="nil"/>
              <w:bottom w:val="single" w:color="auto" w:sz="4" w:space="0"/>
              <w:right w:val="single" w:color="auto" w:sz="4" w:space="0"/>
            </w:tcBorders>
            <w:shd w:val="clear" w:color="auto" w:fill="auto"/>
            <w:noWrap/>
            <w:vAlign w:val="center"/>
          </w:tcPr>
          <w:p w14:paraId="71EAFF6E">
            <w:pPr>
              <w:spacing w:line="440" w:lineRule="exact"/>
              <w:jc w:val="center"/>
              <w:rPr>
                <w:rFonts w:cs="宋体"/>
                <w:color w:val="000000"/>
                <w:sz w:val="18"/>
                <w:szCs w:val="18"/>
                <w:lang w:val="en-US"/>
              </w:rPr>
            </w:pPr>
            <w:r>
              <w:rPr>
                <w:rFonts w:cs="宋体"/>
                <w:color w:val="000000"/>
                <w:sz w:val="18"/>
                <w:szCs w:val="18"/>
                <w:lang w:val="en-US"/>
              </w:rPr>
              <w:t>是</w:t>
            </w:r>
            <w:bookmarkEnd w:id="17"/>
          </w:p>
        </w:tc>
      </w:tr>
    </w:tbl>
    <w:p w14:paraId="5869D2B9">
      <w:pPr>
        <w:pStyle w:val="5"/>
      </w:pPr>
      <w:r>
        <w:rPr>
          <w:rFonts w:hint="eastAsia"/>
        </w:rPr>
        <w:t>外窗内外表面风压</w:t>
      </w:r>
      <w:bookmarkEnd w:id="18"/>
      <w:r>
        <w:rPr>
          <w:rFonts w:hint="eastAsia"/>
        </w:rPr>
        <w:t>差达标分析</w:t>
      </w:r>
      <w:bookmarkEnd w:id="19"/>
    </w:p>
    <w:p w14:paraId="02F448E2">
      <w:pPr>
        <w:ind w:firstLine="420"/>
      </w:pPr>
      <w:r>
        <w:rPr>
          <w:rFonts w:hint="eastAsia"/>
          <w:lang w:val="en-US"/>
        </w:rPr>
        <w:t>分析《绿色建筑评价标准》，过渡季</w:t>
      </w:r>
      <w:bookmarkEnd w:id="21"/>
      <w:r>
        <w:rPr>
          <w:rFonts w:hint="eastAsia"/>
          <w:lang w:val="en-US"/>
        </w:rPr>
        <w:t>为充分利用自然通风获得良好的室内风环境，要求50%以上可开启外窗室内外表面的风压差大于0.5Pa。</w:t>
      </w:r>
    </w:p>
    <w:p w14:paraId="3DB3A0A2">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E65E506">
      <w:pPr>
        <w:ind w:firstLine="420"/>
      </w:pPr>
      <w:r>
        <w:rPr>
          <w:rFonts w:hint="eastAsia"/>
          <w:lang w:val="en-US"/>
        </w:rPr>
        <w:t>下图为夏季工况下，建筑迎风面和背风面对应外窗表面的风压分布图，结合图例数值可以清晰看到外窗表面风压小于0.5Pa的外窗区域。</w:t>
      </w:r>
    </w:p>
    <w:bookmarkEnd w:id="22"/>
    <w:p w14:paraId="0DFD097A">
      <w:pPr>
        <w:pStyle w:val="3"/>
        <w:ind w:firstLine="0" w:firstLineChars="0"/>
        <w:jc w:val="center"/>
        <w:rPr>
          <w:rFonts w:ascii="微软雅黑" w:hAnsi="微软雅黑" w:eastAsia="微软雅黑"/>
        </w:rPr>
      </w:pPr>
      <w:r>
        <w:drawing>
          <wp:inline distT="0" distB="0" distL="0" distR="0">
            <wp:extent cx="5667375" cy="36671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667125"/>
                    </a:xfrm>
                    <a:prstGeom prst="rect">
                      <a:avLst/>
                    </a:prstGeom>
                  </pic:spPr>
                </pic:pic>
              </a:graphicData>
            </a:graphic>
          </wp:inline>
        </w:drawing>
      </w:r>
    </w:p>
    <w:p w14:paraId="1EC350E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p>
    <w:bookmarkEnd w:id="23"/>
    <w:p w14:paraId="48F2B517">
      <w:pPr>
        <w:jc w:val="center"/>
        <w:rPr>
          <w:rFonts w:ascii="微软雅黑" w:hAnsi="微软雅黑" w:eastAsia="微软雅黑"/>
          <w:sz w:val="21"/>
        </w:rPr>
      </w:pPr>
      <w:r>
        <w:drawing>
          <wp:inline distT="0" distB="0" distL="0" distR="0">
            <wp:extent cx="5667375" cy="3676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676650"/>
                    </a:xfrm>
                    <a:prstGeom prst="rect">
                      <a:avLst/>
                    </a:prstGeom>
                  </pic:spPr>
                </pic:pic>
              </a:graphicData>
            </a:graphic>
          </wp:inline>
        </w:drawing>
      </w:r>
    </w:p>
    <w:p w14:paraId="2088CD6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建筑背风面外窗表面风压云图-过渡季</w:t>
      </w:r>
      <w:bookmarkEnd w:id="25"/>
      <w:r>
        <w:rPr>
          <w:rFonts w:hint="eastAsia" w:ascii="微软雅黑" w:hAnsi="微软雅黑" w:eastAsia="微软雅黑"/>
          <w:sz w:val="18"/>
          <w:szCs w:val="18"/>
        </w:rPr>
        <w:t xml:space="preserve"> </w:t>
      </w:r>
    </w:p>
    <w:p w14:paraId="249780B6">
      <w:pPr>
        <w:ind w:firstLine="420"/>
      </w:pPr>
      <w:r>
        <w:rPr>
          <w:rFonts w:hint="eastAsia"/>
        </w:rPr>
        <w:t>下表为依据上图提取的外窗外表面平均风压数据，相当于外窗室内外表面风压差数据，并依据标准做出达标判断：</w:t>
      </w:r>
    </w:p>
    <w:p w14:paraId="3021E087">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2DC0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11EDE69">
            <w:pPr>
              <w:jc w:val="center"/>
              <w:rPr>
                <w:sz w:val="18"/>
                <w:szCs w:val="18"/>
                <w:lang w:val="en-US"/>
              </w:rPr>
            </w:pPr>
            <w:r>
              <w:rPr>
                <w:rFonts w:hint="eastAsia"/>
                <w:sz w:val="18"/>
                <w:szCs w:val="18"/>
                <w:lang w:val="en-US"/>
              </w:rPr>
              <w:t>建筑编号</w:t>
            </w:r>
          </w:p>
        </w:tc>
        <w:tc>
          <w:tcPr>
            <w:tcW w:w="1843" w:type="dxa"/>
            <w:shd w:val="clear" w:color="auto" w:fill="E6E6E6"/>
            <w:vAlign w:val="center"/>
          </w:tcPr>
          <w:p w14:paraId="7E64F7E6">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4C574FBA">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1F86A6F">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31C1C136">
            <w:pPr>
              <w:jc w:val="center"/>
              <w:rPr>
                <w:sz w:val="18"/>
                <w:szCs w:val="18"/>
                <w:lang w:val="en-US"/>
              </w:rPr>
            </w:pPr>
            <w:r>
              <w:rPr>
                <w:rFonts w:hint="eastAsia"/>
                <w:sz w:val="18"/>
                <w:szCs w:val="18"/>
                <w:lang w:val="en-US"/>
              </w:rPr>
              <w:t>是否达标</w:t>
            </w:r>
          </w:p>
        </w:tc>
      </w:tr>
      <w:tr w14:paraId="63519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6DBCDAF5">
            <w:pPr>
              <w:jc w:val="center"/>
              <w:rPr>
                <w:sz w:val="18"/>
                <w:szCs w:val="18"/>
                <w:lang w:val="en-US"/>
              </w:rPr>
            </w:pPr>
            <w:r>
              <w:rPr>
                <w:sz w:val="18"/>
                <w:szCs w:val="18"/>
                <w:lang w:val="en-US"/>
              </w:rPr>
              <w:t>38#建筑修复版改造后</w:t>
            </w:r>
          </w:p>
        </w:tc>
        <w:tc>
          <w:tcPr>
            <w:tcW w:w="1843" w:type="dxa"/>
            <w:shd w:val="clear" w:color="auto" w:fill="auto"/>
            <w:vAlign w:val="center"/>
          </w:tcPr>
          <w:p w14:paraId="4CD168AF">
            <w:pPr>
              <w:jc w:val="center"/>
              <w:rPr>
                <w:sz w:val="18"/>
                <w:szCs w:val="18"/>
                <w:lang w:val="en-US"/>
              </w:rPr>
            </w:pPr>
            <w:r>
              <w:rPr>
                <w:sz w:val="18"/>
                <w:szCs w:val="18"/>
                <w:lang w:val="en-US"/>
              </w:rPr>
              <w:t>293</w:t>
            </w:r>
          </w:p>
        </w:tc>
        <w:tc>
          <w:tcPr>
            <w:tcW w:w="2552" w:type="dxa"/>
            <w:shd w:val="clear" w:color="auto" w:fill="auto"/>
            <w:vAlign w:val="center"/>
          </w:tcPr>
          <w:p w14:paraId="57F663B3">
            <w:pPr>
              <w:jc w:val="center"/>
              <w:rPr>
                <w:sz w:val="18"/>
                <w:szCs w:val="18"/>
                <w:lang w:val="en-US"/>
              </w:rPr>
            </w:pPr>
            <w:r>
              <w:rPr>
                <w:sz w:val="18"/>
                <w:szCs w:val="18"/>
                <w:lang w:val="en-US"/>
              </w:rPr>
              <w:t>221</w:t>
            </w:r>
          </w:p>
        </w:tc>
        <w:tc>
          <w:tcPr>
            <w:tcW w:w="1559" w:type="dxa"/>
            <w:shd w:val="clear" w:color="auto" w:fill="auto"/>
            <w:vAlign w:val="center"/>
          </w:tcPr>
          <w:p w14:paraId="59ED4006">
            <w:pPr>
              <w:jc w:val="center"/>
              <w:rPr>
                <w:sz w:val="18"/>
                <w:szCs w:val="18"/>
                <w:lang w:val="en-US"/>
              </w:rPr>
            </w:pPr>
            <w:r>
              <w:rPr>
                <w:sz w:val="18"/>
                <w:szCs w:val="18"/>
                <w:lang w:val="en-US"/>
              </w:rPr>
              <w:t>75.43</w:t>
            </w:r>
          </w:p>
        </w:tc>
        <w:tc>
          <w:tcPr>
            <w:tcW w:w="1276" w:type="dxa"/>
            <w:shd w:val="clear" w:color="auto" w:fill="auto"/>
            <w:vAlign w:val="center"/>
          </w:tcPr>
          <w:p w14:paraId="0BD7B047">
            <w:pPr>
              <w:jc w:val="center"/>
              <w:rPr>
                <w:sz w:val="18"/>
                <w:szCs w:val="18"/>
                <w:lang w:val="en-US"/>
              </w:rPr>
            </w:pPr>
            <w:r>
              <w:rPr>
                <w:sz w:val="18"/>
                <w:szCs w:val="18"/>
                <w:lang w:val="en-US"/>
              </w:rPr>
              <w:t>是</w:t>
            </w:r>
          </w:p>
        </w:tc>
      </w:tr>
    </w:tbl>
    <w:p w14:paraId="787DC6F9">
      <w:pPr>
        <w:rPr>
          <w:sz w:val="18"/>
          <w:szCs w:val="18"/>
        </w:rPr>
      </w:pPr>
      <w:r>
        <w:rPr>
          <w:rFonts w:hint="eastAsia"/>
          <w:sz w:val="18"/>
          <w:szCs w:val="18"/>
          <w:lang w:val="en-US"/>
        </w:rPr>
        <w:t>说明：达标比例＝（室内外风压差大于0.5Pa的总数/可开启外窗总数）*100％</w:t>
      </w:r>
    </w:p>
    <w:p w14:paraId="71704ECF">
      <w:pPr>
        <w:rPr>
          <w:lang w:val="en-US"/>
        </w:rPr>
      </w:pPr>
    </w:p>
    <w:p w14:paraId="39DFEE0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D41BFE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STYLEREF 2 \s </w:instrText>
      </w:r>
      <w:r>
        <w:rPr>
          <w:rFonts w:ascii="微软雅黑" w:hAnsi="微软雅黑" w:eastAsia="微软雅黑"/>
          <w:sz w:val="18"/>
          <w:szCs w:val="18"/>
        </w:rPr>
        <w:fldChar w:fldCharType="separate"/>
      </w:r>
      <w:r>
        <w:rPr>
          <w:rFonts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w:instrText>
      </w:r>
      <w:r>
        <w:rPr>
          <w:rFonts w:hint="eastAsia" w:ascii="微软雅黑" w:hAnsi="微软雅黑" w:eastAsia="微软雅黑"/>
          <w:sz w:val="18"/>
          <w:szCs w:val="18"/>
        </w:rPr>
        <w:instrText xml:space="preserve">表</w:instrText>
      </w:r>
      <w:r>
        <w:rPr>
          <w:rFonts w:ascii="微软雅黑" w:hAnsi="微软雅黑" w:eastAsia="微软雅黑"/>
          <w:sz w:val="18"/>
          <w:szCs w:val="18"/>
        </w:rPr>
        <w:instrText xml:space="preserve">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建筑室内外风压差达标判定表</w:t>
      </w:r>
    </w:p>
    <w:tbl>
      <w:tblPr>
        <w:tblStyle w:val="21"/>
        <w:tblW w:w="82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335"/>
        <w:gridCol w:w="3484"/>
        <w:gridCol w:w="1085"/>
        <w:gridCol w:w="1042"/>
      </w:tblGrid>
      <w:tr w14:paraId="50966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B8D03B0">
            <w:pPr>
              <w:spacing w:line="440" w:lineRule="exact"/>
              <w:jc w:val="center"/>
              <w:rPr>
                <w:sz w:val="18"/>
                <w:szCs w:val="18"/>
                <w:lang w:val="en-US"/>
              </w:rPr>
            </w:pPr>
            <w:r>
              <w:rPr>
                <w:rFonts w:hint="eastAsia"/>
                <w:sz w:val="18"/>
                <w:szCs w:val="18"/>
                <w:lang w:val="en-US"/>
              </w:rPr>
              <w:t>建筑编号</w:t>
            </w:r>
          </w:p>
        </w:tc>
        <w:tc>
          <w:tcPr>
            <w:tcW w:w="1335" w:type="dxa"/>
            <w:shd w:val="clear" w:color="auto" w:fill="E6E6E6"/>
            <w:vAlign w:val="center"/>
          </w:tcPr>
          <w:p w14:paraId="5FAEC96E">
            <w:pPr>
              <w:spacing w:line="440" w:lineRule="exact"/>
              <w:jc w:val="center"/>
              <w:rPr>
                <w:sz w:val="18"/>
                <w:szCs w:val="18"/>
                <w:lang w:val="en-US"/>
              </w:rPr>
            </w:pPr>
            <w:r>
              <w:rPr>
                <w:rFonts w:hint="eastAsia"/>
                <w:sz w:val="18"/>
                <w:szCs w:val="18"/>
                <w:lang w:val="en-US"/>
              </w:rPr>
              <w:t>建筑表面积（㎡）</w:t>
            </w:r>
          </w:p>
        </w:tc>
        <w:tc>
          <w:tcPr>
            <w:tcW w:w="3484" w:type="dxa"/>
            <w:shd w:val="clear" w:color="auto" w:fill="E6E6E6"/>
            <w:vAlign w:val="center"/>
          </w:tcPr>
          <w:p w14:paraId="75FE3F6E">
            <w:pPr>
              <w:spacing w:line="440" w:lineRule="exact"/>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50896EB">
            <w:pPr>
              <w:spacing w:line="440" w:lineRule="exact"/>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FF741AA">
            <w:pPr>
              <w:spacing w:line="440" w:lineRule="exact"/>
              <w:jc w:val="center"/>
              <w:rPr>
                <w:sz w:val="18"/>
                <w:szCs w:val="18"/>
                <w:lang w:val="en-US"/>
              </w:rPr>
            </w:pPr>
            <w:r>
              <w:rPr>
                <w:rFonts w:hint="eastAsia"/>
                <w:sz w:val="18"/>
                <w:szCs w:val="18"/>
                <w:lang w:val="en-US"/>
              </w:rPr>
              <w:t>是否达标</w:t>
            </w:r>
          </w:p>
        </w:tc>
      </w:tr>
      <w:tr w14:paraId="747F5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8731ED9">
            <w:pPr>
              <w:spacing w:line="440" w:lineRule="exact"/>
              <w:jc w:val="center"/>
              <w:rPr>
                <w:sz w:val="18"/>
                <w:szCs w:val="18"/>
                <w:lang w:val="en-US"/>
              </w:rPr>
            </w:pPr>
            <w:r>
              <w:rPr>
                <w:sz w:val="18"/>
                <w:szCs w:val="18"/>
                <w:lang w:val="en-US"/>
              </w:rPr>
              <w:t>未命名</w:t>
            </w:r>
          </w:p>
        </w:tc>
        <w:tc>
          <w:tcPr>
            <w:tcW w:w="1335" w:type="dxa"/>
            <w:vAlign w:val="center"/>
          </w:tcPr>
          <w:p w14:paraId="3A4D2FA8">
            <w:pPr>
              <w:spacing w:line="440" w:lineRule="exact"/>
              <w:jc w:val="center"/>
              <w:rPr>
                <w:sz w:val="18"/>
                <w:szCs w:val="18"/>
                <w:lang w:val="en-US"/>
              </w:rPr>
            </w:pPr>
            <w:r>
              <w:rPr>
                <w:sz w:val="18"/>
                <w:szCs w:val="18"/>
                <w:lang w:val="en-US"/>
              </w:rPr>
              <w:t>10939.60</w:t>
            </w:r>
          </w:p>
        </w:tc>
        <w:tc>
          <w:tcPr>
            <w:tcW w:w="3484" w:type="dxa"/>
            <w:vAlign w:val="center"/>
          </w:tcPr>
          <w:p w14:paraId="67F84E64">
            <w:pPr>
              <w:spacing w:line="440" w:lineRule="exact"/>
              <w:jc w:val="center"/>
              <w:rPr>
                <w:sz w:val="18"/>
                <w:szCs w:val="18"/>
                <w:lang w:val="en-US"/>
              </w:rPr>
            </w:pPr>
            <w:r>
              <w:rPr>
                <w:sz w:val="18"/>
                <w:szCs w:val="18"/>
                <w:lang w:val="en-US"/>
              </w:rPr>
              <w:t>10391.80</w:t>
            </w:r>
          </w:p>
        </w:tc>
        <w:tc>
          <w:tcPr>
            <w:tcW w:w="1085" w:type="dxa"/>
            <w:vAlign w:val="center"/>
          </w:tcPr>
          <w:p w14:paraId="02F11E7F">
            <w:pPr>
              <w:spacing w:line="440" w:lineRule="exact"/>
              <w:jc w:val="center"/>
              <w:rPr>
                <w:sz w:val="18"/>
                <w:szCs w:val="18"/>
                <w:lang w:val="en-US"/>
              </w:rPr>
            </w:pPr>
            <w:r>
              <w:rPr>
                <w:sz w:val="18"/>
                <w:szCs w:val="18"/>
                <w:lang w:val="en-US"/>
              </w:rPr>
              <w:t>94.99</w:t>
            </w:r>
          </w:p>
        </w:tc>
        <w:tc>
          <w:tcPr>
            <w:tcW w:w="1042" w:type="dxa"/>
            <w:vAlign w:val="center"/>
          </w:tcPr>
          <w:p w14:paraId="4CBCC644">
            <w:pPr>
              <w:spacing w:line="440" w:lineRule="exact"/>
              <w:jc w:val="center"/>
              <w:rPr>
                <w:sz w:val="18"/>
                <w:szCs w:val="18"/>
                <w:lang w:val="en-US"/>
              </w:rPr>
            </w:pPr>
            <w:r>
              <w:rPr>
                <w:sz w:val="18"/>
                <w:szCs w:val="18"/>
                <w:lang w:val="en-US"/>
              </w:rPr>
              <w:t>是</w:t>
            </w:r>
          </w:p>
        </w:tc>
      </w:tr>
    </w:tbl>
    <w:p w14:paraId="3A751714">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618A3D0">
      <w:r>
        <w:rPr>
          <w:rFonts w:hint="eastAsia"/>
        </w:rPr>
        <w:t xml:space="preserve"> </w:t>
      </w:r>
      <w:bookmarkEnd w:id="26"/>
    </w:p>
    <w:p w14:paraId="1641890C">
      <w:pPr>
        <w:ind w:firstLine="420"/>
        <w:rPr>
          <w:lang w:val="en-US"/>
        </w:rPr>
      </w:pPr>
      <w:r>
        <w:rPr>
          <w:rFonts w:hint="eastAsia"/>
          <w:lang w:val="en-US"/>
        </w:rPr>
        <w:t>结论：本项目中所有建筑均满足“50%以上可开启外窗室内外表面的风压差大于0.5Pa”的要求。</w:t>
      </w:r>
      <w:bookmarkEnd w:id="29"/>
      <w:r>
        <w:rPr>
          <w:rFonts w:hint="eastAsia"/>
          <w:lang w:val="en-US"/>
        </w:rPr>
        <w:t xml:space="preserve"> </w:t>
      </w:r>
    </w:p>
    <w:p w14:paraId="418CCB22">
      <w:pPr>
        <w:rPr>
          <w:rFonts w:hint="eastAsia"/>
          <w:lang w:val="en-US"/>
        </w:rPr>
      </w:pPr>
      <w:bookmarkStart w:id="133" w:name="其他工况"/>
      <w:bookmarkEnd w:id="133"/>
      <w:r>
        <w:rPr>
          <w:rFonts w:hint="eastAsia"/>
          <w:lang w:val="en-US"/>
        </w:rPr>
        <w:t xml:space="preserve"> </w:t>
      </w:r>
    </w:p>
    <w:p w14:paraId="236485AA">
      <w:pPr>
        <w:pStyle w:val="2"/>
      </w:pPr>
      <w:bookmarkStart w:id="134" w:name="_Toc509844764"/>
      <w:bookmarkStart w:id="135" w:name="_Toc32631"/>
      <w:r>
        <w:rPr>
          <w:rFonts w:hint="eastAsia"/>
        </w:rPr>
        <w:t>结论</w:t>
      </w:r>
      <w:bookmarkEnd w:id="134"/>
      <w:bookmarkEnd w:id="135"/>
    </w:p>
    <w:p w14:paraId="1472B429">
      <w:pPr>
        <w:pStyle w:val="4"/>
      </w:pPr>
      <w:bookmarkStart w:id="136" w:name="_Toc509844765"/>
      <w:bookmarkStart w:id="137" w:name="_Toc21308"/>
      <w:r>
        <w:rPr>
          <w:rFonts w:hint="eastAsia"/>
        </w:rPr>
        <w:t>冬季工况达标判断</w:t>
      </w:r>
      <w:bookmarkEnd w:id="136"/>
      <w:bookmarkEnd w:id="137"/>
      <w:bookmarkStart w:id="138" w:name="_Toc509844766"/>
      <w:bookmarkEnd w:id="138"/>
    </w:p>
    <w:p w14:paraId="2E3DF1A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0A14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45F3B6DC">
            <w:pPr>
              <w:jc w:val="center"/>
              <w:rPr>
                <w:b/>
                <w:sz w:val="18"/>
                <w:szCs w:val="18"/>
                <w:lang w:val="en-US"/>
              </w:rPr>
            </w:pPr>
            <w:r>
              <w:rPr>
                <w:rFonts w:hint="eastAsia"/>
                <w:b/>
                <w:sz w:val="18"/>
                <w:szCs w:val="18"/>
                <w:lang w:val="en-US"/>
              </w:rPr>
              <w:t>评价项目</w:t>
            </w:r>
          </w:p>
        </w:tc>
        <w:tc>
          <w:tcPr>
            <w:tcW w:w="2977" w:type="dxa"/>
            <w:shd w:val="clear" w:color="auto" w:fill="E6E6E6"/>
          </w:tcPr>
          <w:p w14:paraId="7736A65A">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72A7EAD7">
            <w:pPr>
              <w:jc w:val="center"/>
              <w:rPr>
                <w:b/>
                <w:sz w:val="18"/>
                <w:szCs w:val="18"/>
                <w:lang w:val="en-US"/>
              </w:rPr>
            </w:pPr>
            <w:r>
              <w:rPr>
                <w:rFonts w:hint="eastAsia"/>
                <w:b/>
                <w:sz w:val="18"/>
                <w:szCs w:val="18"/>
                <w:lang w:val="en-US"/>
              </w:rPr>
              <w:t>项目计算结果</w:t>
            </w:r>
          </w:p>
        </w:tc>
        <w:tc>
          <w:tcPr>
            <w:tcW w:w="1133" w:type="dxa"/>
            <w:shd w:val="clear" w:color="auto" w:fill="E6E6E6"/>
          </w:tcPr>
          <w:p w14:paraId="2356095D">
            <w:pPr>
              <w:jc w:val="center"/>
              <w:rPr>
                <w:b/>
                <w:sz w:val="18"/>
                <w:szCs w:val="18"/>
                <w:lang w:val="en-US"/>
              </w:rPr>
            </w:pPr>
            <w:r>
              <w:rPr>
                <w:rFonts w:hint="eastAsia"/>
                <w:b/>
                <w:sz w:val="18"/>
                <w:szCs w:val="18"/>
                <w:lang w:val="en-US"/>
              </w:rPr>
              <w:t>达标判定</w:t>
            </w:r>
          </w:p>
        </w:tc>
        <w:tc>
          <w:tcPr>
            <w:tcW w:w="850" w:type="dxa"/>
            <w:shd w:val="clear" w:color="auto" w:fill="E6E6E6"/>
          </w:tcPr>
          <w:p w14:paraId="18AFED1E">
            <w:pPr>
              <w:jc w:val="center"/>
              <w:rPr>
                <w:b/>
                <w:sz w:val="18"/>
                <w:szCs w:val="18"/>
                <w:lang w:val="en-US"/>
              </w:rPr>
            </w:pPr>
            <w:r>
              <w:rPr>
                <w:rFonts w:hint="eastAsia"/>
                <w:b/>
                <w:sz w:val="18"/>
                <w:szCs w:val="18"/>
                <w:lang w:val="en-US"/>
              </w:rPr>
              <w:t>得分</w:t>
            </w:r>
          </w:p>
        </w:tc>
      </w:tr>
      <w:tr w14:paraId="6DA7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51676A7A">
            <w:pPr>
              <w:jc w:val="center"/>
              <w:rPr>
                <w:sz w:val="18"/>
                <w:szCs w:val="18"/>
                <w:lang w:val="en-US"/>
              </w:rPr>
            </w:pPr>
            <w:r>
              <w:rPr>
                <w:rFonts w:hint="eastAsia"/>
                <w:sz w:val="18"/>
                <w:szCs w:val="18"/>
                <w:lang w:val="en-US"/>
              </w:rPr>
              <w:t>风速</w:t>
            </w:r>
          </w:p>
        </w:tc>
        <w:tc>
          <w:tcPr>
            <w:tcW w:w="2977" w:type="dxa"/>
            <w:vMerge w:val="restart"/>
            <w:shd w:val="clear" w:color="auto" w:fill="auto"/>
          </w:tcPr>
          <w:p w14:paraId="69D2FEC5">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39" w:name="标准要求冬季风速得分"/>
            <w:r>
              <w:rPr>
                <w:rFonts w:hint="eastAsia"/>
                <w:sz w:val="18"/>
                <w:szCs w:val="18"/>
                <w:lang w:val="en-US"/>
              </w:rPr>
              <w:t>3</w:t>
            </w:r>
            <w:bookmarkEnd w:id="139"/>
            <w:r>
              <w:rPr>
                <w:rFonts w:hint="eastAsia"/>
                <w:sz w:val="18"/>
                <w:szCs w:val="18"/>
                <w:lang w:val="en-US"/>
              </w:rPr>
              <w:t>分；</w:t>
            </w:r>
          </w:p>
        </w:tc>
        <w:tc>
          <w:tcPr>
            <w:tcW w:w="1985" w:type="dxa"/>
            <w:shd w:val="clear" w:color="auto" w:fill="auto"/>
            <w:vAlign w:val="center"/>
          </w:tcPr>
          <w:p w14:paraId="6259BE7F">
            <w:pPr>
              <w:jc w:val="center"/>
              <w:rPr>
                <w:sz w:val="18"/>
                <w:szCs w:val="18"/>
                <w:lang w:val="en-US"/>
              </w:rPr>
            </w:pPr>
            <w:r>
              <w:rPr>
                <w:rFonts w:hint="eastAsia"/>
                <w:sz w:val="18"/>
                <w:szCs w:val="18"/>
                <w:lang w:val="en-US"/>
              </w:rPr>
              <w:t>计算域</w:t>
            </w:r>
            <w:bookmarkStart w:id="140" w:name="冬季风速结果计算域"/>
            <w:r>
              <w:t>没有出现</w:t>
            </w:r>
            <w:bookmarkEnd w:id="140"/>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03941CFC">
            <w:pPr>
              <w:jc w:val="center"/>
              <w:rPr>
                <w:b/>
                <w:sz w:val="18"/>
                <w:szCs w:val="18"/>
                <w:lang w:val="en-US"/>
              </w:rPr>
            </w:pPr>
            <w:bookmarkStart w:id="141" w:name="冬季风速达标判定"/>
            <w:r>
              <w:rPr>
                <w:rFonts w:hint="eastAsia"/>
                <w:b/>
                <w:sz w:val="18"/>
                <w:szCs w:val="18"/>
                <w:lang w:val="en-US"/>
              </w:rPr>
              <w:t>达标</w:t>
            </w:r>
            <w:bookmarkEnd w:id="141"/>
          </w:p>
        </w:tc>
        <w:tc>
          <w:tcPr>
            <w:tcW w:w="850" w:type="dxa"/>
            <w:vMerge w:val="restart"/>
            <w:shd w:val="clear" w:color="auto" w:fill="auto"/>
            <w:vAlign w:val="center"/>
          </w:tcPr>
          <w:p w14:paraId="7A71CBA5">
            <w:pPr>
              <w:jc w:val="center"/>
              <w:rPr>
                <w:sz w:val="18"/>
                <w:szCs w:val="18"/>
                <w:lang w:val="en-US"/>
              </w:rPr>
            </w:pPr>
            <w:bookmarkStart w:id="142" w:name="冬季风速得分"/>
            <w:r>
              <w:rPr>
                <w:rFonts w:hint="eastAsia"/>
                <w:sz w:val="18"/>
                <w:szCs w:val="18"/>
                <w:lang w:val="en-US"/>
              </w:rPr>
              <w:t>3</w:t>
            </w:r>
            <w:bookmarkEnd w:id="142"/>
            <w:r>
              <w:rPr>
                <w:rFonts w:hint="eastAsia"/>
                <w:sz w:val="18"/>
                <w:szCs w:val="18"/>
                <w:lang w:val="en-US"/>
              </w:rPr>
              <w:t>分</w:t>
            </w:r>
          </w:p>
        </w:tc>
      </w:tr>
      <w:tr w14:paraId="2F64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7E61F66D">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74E19533">
            <w:pPr>
              <w:jc w:val="center"/>
              <w:rPr>
                <w:sz w:val="18"/>
                <w:szCs w:val="18"/>
                <w:lang w:val="en-US"/>
              </w:rPr>
            </w:pPr>
          </w:p>
        </w:tc>
        <w:tc>
          <w:tcPr>
            <w:tcW w:w="1985" w:type="dxa"/>
            <w:shd w:val="clear" w:color="auto" w:fill="auto"/>
            <w:vAlign w:val="center"/>
          </w:tcPr>
          <w:p w14:paraId="7DE13FD9">
            <w:pPr>
              <w:jc w:val="center"/>
              <w:rPr>
                <w:sz w:val="18"/>
                <w:szCs w:val="18"/>
                <w:lang w:val="en-US"/>
              </w:rPr>
            </w:pPr>
            <w:r>
              <w:rPr>
                <w:rFonts w:hint="eastAsia"/>
                <w:sz w:val="18"/>
                <w:szCs w:val="18"/>
                <w:lang w:val="en-US"/>
              </w:rPr>
              <w:t>计算域</w:t>
            </w:r>
            <w:bookmarkStart w:id="143" w:name="冬季风速放大系数结果计算域"/>
            <w:r>
              <w:t>没有出现</w:t>
            </w:r>
            <w:bookmarkEnd w:id="143"/>
            <w:r>
              <w:rPr>
                <w:rFonts w:hint="eastAsia"/>
                <w:sz w:val="18"/>
                <w:szCs w:val="18"/>
                <w:lang w:val="en-US"/>
              </w:rPr>
              <w:t>风速放大系数大于等于2的区域</w:t>
            </w:r>
          </w:p>
        </w:tc>
        <w:tc>
          <w:tcPr>
            <w:tcW w:w="1133" w:type="dxa"/>
            <w:vMerge w:val="continue"/>
            <w:shd w:val="clear" w:color="auto" w:fill="auto"/>
          </w:tcPr>
          <w:p w14:paraId="1222A555">
            <w:pPr>
              <w:jc w:val="center"/>
              <w:rPr>
                <w:sz w:val="18"/>
                <w:szCs w:val="18"/>
                <w:lang w:val="en-US"/>
              </w:rPr>
            </w:pPr>
          </w:p>
        </w:tc>
        <w:tc>
          <w:tcPr>
            <w:tcW w:w="850" w:type="dxa"/>
            <w:vMerge w:val="continue"/>
            <w:shd w:val="clear" w:color="auto" w:fill="auto"/>
          </w:tcPr>
          <w:p w14:paraId="341A9339">
            <w:pPr>
              <w:jc w:val="center"/>
              <w:rPr>
                <w:sz w:val="18"/>
                <w:szCs w:val="18"/>
                <w:lang w:val="en-US"/>
              </w:rPr>
            </w:pPr>
          </w:p>
        </w:tc>
      </w:tr>
      <w:tr w14:paraId="5634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958F709">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633CF9CD">
            <w:pPr>
              <w:jc w:val="center"/>
              <w:rPr>
                <w:sz w:val="18"/>
                <w:szCs w:val="18"/>
                <w:lang w:val="en-US"/>
              </w:rPr>
            </w:pPr>
            <w:r>
              <w:rPr>
                <w:rFonts w:hint="eastAsia"/>
                <w:sz w:val="18"/>
                <w:szCs w:val="18"/>
                <w:lang w:val="en-US"/>
              </w:rPr>
              <w:t>除迎风第一排建筑外，建筑迎风面与背风面表面风压差不超过5Pa，得</w:t>
            </w:r>
            <w:bookmarkStart w:id="144" w:name="标准要求冬季风压得分"/>
            <w:r>
              <w:rPr>
                <w:rFonts w:hint="eastAsia"/>
                <w:sz w:val="18"/>
                <w:szCs w:val="18"/>
                <w:lang w:val="en-US"/>
              </w:rPr>
              <w:t>2</w:t>
            </w:r>
            <w:bookmarkEnd w:id="144"/>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5F1E9EF1">
            <w:pPr>
              <w:jc w:val="center"/>
              <w:rPr>
                <w:sz w:val="18"/>
                <w:szCs w:val="18"/>
                <w:lang w:val="en-US"/>
              </w:rPr>
            </w:pPr>
            <w:r>
              <w:rPr>
                <w:rFonts w:hint="eastAsia"/>
                <w:sz w:val="18"/>
                <w:szCs w:val="18"/>
                <w:lang w:val="en-US"/>
              </w:rPr>
              <w:t>本项目</w:t>
            </w:r>
            <w:bookmarkStart w:id="145" w:name="冬季迎背风面结果"/>
            <w:r>
              <w:t>没有出现</w:t>
            </w:r>
            <w:bookmarkEnd w:id="145"/>
            <w:r>
              <w:rPr>
                <w:rFonts w:hint="eastAsia"/>
                <w:sz w:val="18"/>
                <w:szCs w:val="18"/>
                <w:lang w:val="en-US"/>
              </w:rPr>
              <w:t>建筑迎风面与背风面表面风压差大于5Pa的建筑</w:t>
            </w:r>
          </w:p>
        </w:tc>
        <w:tc>
          <w:tcPr>
            <w:tcW w:w="1133" w:type="dxa"/>
            <w:shd w:val="clear" w:color="auto" w:fill="auto"/>
            <w:vAlign w:val="center"/>
          </w:tcPr>
          <w:p w14:paraId="09C19BB2">
            <w:pPr>
              <w:jc w:val="center"/>
              <w:rPr>
                <w:sz w:val="18"/>
                <w:szCs w:val="18"/>
                <w:lang w:val="en-US"/>
              </w:rPr>
            </w:pPr>
            <w:bookmarkStart w:id="146" w:name="冬季迎背风面达标判定"/>
            <w:r>
              <w:rPr>
                <w:rFonts w:hint="eastAsia"/>
                <w:b/>
                <w:sz w:val="18"/>
                <w:szCs w:val="18"/>
                <w:lang w:val="en-US"/>
              </w:rPr>
              <w:t>达标</w:t>
            </w:r>
            <w:bookmarkEnd w:id="146"/>
          </w:p>
        </w:tc>
        <w:tc>
          <w:tcPr>
            <w:tcW w:w="850" w:type="dxa"/>
            <w:shd w:val="clear" w:color="auto" w:fill="auto"/>
            <w:vAlign w:val="center"/>
          </w:tcPr>
          <w:p w14:paraId="13C97F82">
            <w:pPr>
              <w:jc w:val="center"/>
              <w:rPr>
                <w:sz w:val="18"/>
                <w:szCs w:val="18"/>
                <w:lang w:val="en-US"/>
              </w:rPr>
            </w:pPr>
            <w:bookmarkStart w:id="147" w:name="冬季迎背风面得分"/>
            <w:r>
              <w:rPr>
                <w:rFonts w:hint="eastAsia"/>
                <w:sz w:val="18"/>
                <w:szCs w:val="18"/>
                <w:lang w:val="en-US"/>
              </w:rPr>
              <w:t>2</w:t>
            </w:r>
            <w:bookmarkEnd w:id="147"/>
            <w:r>
              <w:rPr>
                <w:rFonts w:hint="eastAsia"/>
                <w:sz w:val="18"/>
                <w:szCs w:val="18"/>
                <w:lang w:val="en-US"/>
              </w:rPr>
              <w:t>分</w:t>
            </w:r>
          </w:p>
        </w:tc>
      </w:tr>
    </w:tbl>
    <w:p w14:paraId="1822EDC9">
      <w:pPr>
        <w:rPr>
          <w:lang w:val="en-US"/>
        </w:rPr>
      </w:pPr>
      <w:bookmarkStart w:id="148" w:name="_Toc509844768"/>
      <w:bookmarkEnd w:id="148"/>
      <w:bookmarkStart w:id="149" w:name="_Toc509844767"/>
      <w:bookmarkEnd w:id="149"/>
    </w:p>
    <w:bookmarkEnd w:id="1"/>
    <w:p w14:paraId="310E8C05">
      <w:pPr>
        <w:pStyle w:val="4"/>
      </w:pPr>
      <w:bookmarkStart w:id="150" w:name="_Toc509844769"/>
      <w:bookmarkStart w:id="151" w:name="_Toc26381"/>
      <w:r>
        <w:rPr>
          <w:rFonts w:hint="eastAsia"/>
        </w:rPr>
        <w:t>过渡季、夏季工况达标判断</w:t>
      </w:r>
      <w:bookmarkEnd w:id="150"/>
      <w:bookmarkEnd w:id="151"/>
    </w:p>
    <w:p w14:paraId="02A4F98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148B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97BD0A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314BE1A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097F08D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0968F8B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0E34C32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572D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BCE01A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1DA5E60D">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2" w:name="标准要求夏季风速得分"/>
            <w:r>
              <w:rPr>
                <w:rFonts w:hint="eastAsia" w:ascii="微软雅黑" w:hAnsi="微软雅黑" w:eastAsia="微软雅黑"/>
                <w:sz w:val="18"/>
                <w:szCs w:val="18"/>
                <w:lang w:val="en-US"/>
              </w:rPr>
              <w:t>3</w:t>
            </w:r>
            <w:bookmarkEnd w:id="152"/>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531139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3" w:name="夏季无风区结果计算域"/>
            <w:r>
              <w:rPr>
                <w:rFonts w:hint="eastAsia" w:ascii="微软雅黑" w:hAnsi="微软雅黑" w:eastAsia="微软雅黑"/>
                <w:sz w:val="18"/>
                <w:szCs w:val="18"/>
                <w:lang w:val="en-US"/>
              </w:rPr>
              <w:t>无</w:t>
            </w:r>
            <w:bookmarkEnd w:id="153"/>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461BA7E">
            <w:pPr>
              <w:jc w:val="center"/>
              <w:rPr>
                <w:rFonts w:ascii="微软雅黑" w:hAnsi="微软雅黑" w:eastAsia="微软雅黑"/>
                <w:sz w:val="18"/>
                <w:szCs w:val="18"/>
                <w:lang w:val="en-US"/>
              </w:rPr>
            </w:pPr>
            <w:bookmarkStart w:id="154" w:name="夏季无风区达标判定"/>
            <w:r>
              <w:rPr>
                <w:rFonts w:hint="eastAsia" w:ascii="微软雅黑" w:hAnsi="微软雅黑" w:eastAsia="微软雅黑"/>
                <w:b/>
                <w:sz w:val="18"/>
                <w:szCs w:val="18"/>
                <w:lang w:val="en-US"/>
              </w:rPr>
              <w:t>达标</w:t>
            </w:r>
            <w:bookmarkEnd w:id="154"/>
          </w:p>
        </w:tc>
        <w:tc>
          <w:tcPr>
            <w:tcW w:w="992" w:type="dxa"/>
            <w:vMerge w:val="restart"/>
            <w:shd w:val="clear" w:color="auto" w:fill="auto"/>
            <w:vAlign w:val="center"/>
          </w:tcPr>
          <w:p w14:paraId="0F45D54A">
            <w:pPr>
              <w:jc w:val="center"/>
              <w:rPr>
                <w:rFonts w:ascii="微软雅黑" w:hAnsi="微软雅黑" w:eastAsia="微软雅黑"/>
                <w:sz w:val="18"/>
                <w:szCs w:val="18"/>
                <w:lang w:val="en-US"/>
              </w:rPr>
            </w:pPr>
            <w:bookmarkStart w:id="155" w:name="夏季无风区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r>
      <w:tr w14:paraId="7BB6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61BCC3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4D16B5DD">
            <w:pPr>
              <w:jc w:val="center"/>
              <w:rPr>
                <w:rFonts w:ascii="微软雅黑" w:hAnsi="微软雅黑" w:eastAsia="微软雅黑"/>
                <w:sz w:val="18"/>
                <w:szCs w:val="18"/>
                <w:lang w:val="en-US"/>
              </w:rPr>
            </w:pPr>
          </w:p>
        </w:tc>
        <w:tc>
          <w:tcPr>
            <w:tcW w:w="2410" w:type="dxa"/>
            <w:shd w:val="clear" w:color="auto" w:fill="auto"/>
            <w:vAlign w:val="center"/>
          </w:tcPr>
          <w:p w14:paraId="3BA7063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78E69B0E">
            <w:pPr>
              <w:jc w:val="center"/>
              <w:rPr>
                <w:rFonts w:ascii="微软雅黑" w:hAnsi="微软雅黑" w:eastAsia="微软雅黑"/>
                <w:sz w:val="18"/>
                <w:szCs w:val="18"/>
                <w:lang w:val="en-US"/>
              </w:rPr>
            </w:pPr>
          </w:p>
        </w:tc>
        <w:tc>
          <w:tcPr>
            <w:tcW w:w="992" w:type="dxa"/>
            <w:vMerge w:val="continue"/>
            <w:shd w:val="clear" w:color="auto" w:fill="auto"/>
          </w:tcPr>
          <w:p w14:paraId="1024E3CF">
            <w:pPr>
              <w:jc w:val="center"/>
              <w:rPr>
                <w:rFonts w:ascii="微软雅黑" w:hAnsi="微软雅黑" w:eastAsia="微软雅黑"/>
                <w:sz w:val="18"/>
                <w:szCs w:val="18"/>
                <w:lang w:val="en-US"/>
              </w:rPr>
            </w:pPr>
          </w:p>
        </w:tc>
      </w:tr>
      <w:tr w14:paraId="0CEC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0552E36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10251F5A">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6" w:name="标准要求夏季风压得分"/>
            <w:r>
              <w:rPr>
                <w:rFonts w:hint="eastAsia" w:ascii="微软雅黑" w:hAnsi="微软雅黑" w:eastAsia="微软雅黑"/>
                <w:sz w:val="18"/>
                <w:szCs w:val="18"/>
                <w:lang w:val="en-US"/>
              </w:rPr>
              <w:t>2</w:t>
            </w:r>
            <w:bookmarkEnd w:id="156"/>
            <w:r>
              <w:rPr>
                <w:rFonts w:hint="eastAsia" w:ascii="微软雅黑" w:hAnsi="微软雅黑" w:eastAsia="微软雅黑"/>
                <w:sz w:val="18"/>
                <w:szCs w:val="18"/>
                <w:lang w:val="en-US"/>
              </w:rPr>
              <w:t>分。</w:t>
            </w:r>
          </w:p>
        </w:tc>
        <w:tc>
          <w:tcPr>
            <w:tcW w:w="2410" w:type="dxa"/>
            <w:shd w:val="clear" w:color="auto" w:fill="auto"/>
            <w:vAlign w:val="center"/>
          </w:tcPr>
          <w:p w14:paraId="3E7464F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7" w:name="夏季窗内外风压差结果"/>
            <w:r>
              <w:rPr>
                <w:rFonts w:hint="eastAsia" w:ascii="微软雅黑" w:hAnsi="微软雅黑" w:eastAsia="微软雅黑"/>
                <w:sz w:val="18"/>
                <w:szCs w:val="18"/>
                <w:lang w:val="en-US"/>
              </w:rPr>
              <w:t>满足</w:t>
            </w:r>
            <w:bookmarkEnd w:id="157"/>
            <w:r>
              <w:rPr>
                <w:rFonts w:hint="eastAsia" w:ascii="微软雅黑" w:hAnsi="微软雅黑" w:eastAsia="微软雅黑"/>
                <w:sz w:val="18"/>
                <w:szCs w:val="18"/>
                <w:lang w:val="en-US"/>
              </w:rPr>
              <w:t>标准要求</w:t>
            </w:r>
          </w:p>
        </w:tc>
        <w:tc>
          <w:tcPr>
            <w:tcW w:w="1134" w:type="dxa"/>
            <w:shd w:val="clear" w:color="auto" w:fill="auto"/>
            <w:vAlign w:val="center"/>
          </w:tcPr>
          <w:p w14:paraId="546C3B7B">
            <w:pPr>
              <w:jc w:val="center"/>
              <w:rPr>
                <w:rFonts w:ascii="微软雅黑" w:hAnsi="微软雅黑" w:eastAsia="微软雅黑"/>
                <w:b/>
                <w:sz w:val="18"/>
                <w:szCs w:val="18"/>
                <w:lang w:val="en-US"/>
              </w:rPr>
            </w:pPr>
            <w:bookmarkStart w:id="158" w:name="夏季窗内外风压差达标判定"/>
            <w:r>
              <w:rPr>
                <w:rFonts w:hint="eastAsia" w:ascii="微软雅黑" w:hAnsi="微软雅黑" w:eastAsia="微软雅黑"/>
                <w:b/>
                <w:sz w:val="18"/>
                <w:szCs w:val="18"/>
                <w:lang w:val="en-US"/>
              </w:rPr>
              <w:t>达标</w:t>
            </w:r>
            <w:bookmarkEnd w:id="158"/>
          </w:p>
        </w:tc>
        <w:tc>
          <w:tcPr>
            <w:tcW w:w="992" w:type="dxa"/>
            <w:shd w:val="clear" w:color="auto" w:fill="auto"/>
            <w:vAlign w:val="center"/>
          </w:tcPr>
          <w:p w14:paraId="5E4FDF20">
            <w:pPr>
              <w:jc w:val="center"/>
              <w:rPr>
                <w:rFonts w:ascii="微软雅黑" w:hAnsi="微软雅黑" w:eastAsia="微软雅黑"/>
                <w:sz w:val="18"/>
                <w:szCs w:val="18"/>
                <w:lang w:val="en-US"/>
              </w:rPr>
            </w:pPr>
            <w:bookmarkStart w:id="159" w:name="夏季窗内外风压差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r>
    </w:tbl>
    <w:p w14:paraId="58F30EB2">
      <w:pPr>
        <w:rPr>
          <w:rFonts w:ascii="微软雅黑" w:hAnsi="微软雅黑" w:eastAsia="微软雅黑"/>
          <w:szCs w:val="21"/>
          <w:lang w:val="en-US"/>
        </w:rPr>
      </w:pPr>
    </w:p>
    <w:p w14:paraId="6DC7161B">
      <w:pPr>
        <w:pStyle w:val="3"/>
        <w:ind w:firstLine="420"/>
        <w:rPr>
          <w:rFonts w:hint="eastAsia"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0" w:name="总得分"/>
      <w:r>
        <w:rPr>
          <w:rFonts w:hint="eastAsia" w:ascii="微软雅黑" w:hAnsi="微软雅黑" w:eastAsia="微软雅黑"/>
          <w:lang w:val="en-US"/>
        </w:rPr>
        <w:t>10</w:t>
      </w:r>
      <w:bookmarkEnd w:id="160"/>
      <w:r>
        <w:rPr>
          <w:rFonts w:hint="eastAsia" w:ascii="微软雅黑" w:hAnsi="微软雅黑" w:eastAsia="微软雅黑"/>
          <w:lang w:val="en-US"/>
        </w:rPr>
        <w:t>分。</w:t>
      </w:r>
    </w:p>
    <w:p w14:paraId="05926AF0">
      <w:pPr>
        <w:pStyle w:val="2"/>
      </w:pPr>
      <w:bookmarkStart w:id="161" w:name="_Toc3562"/>
      <w:bookmarkStart w:id="162" w:name="附录"/>
      <w:r>
        <w:rPr>
          <w:rFonts w:hint="eastAsia"/>
        </w:rPr>
        <w:t>附录</w:t>
      </w:r>
      <w:bookmarkEnd w:id="161"/>
    </w:p>
    <w:p w14:paraId="7887F867">
      <w:pPr>
        <w:pStyle w:val="4"/>
        <w:rPr>
          <w:rFonts w:hint="eastAsia"/>
        </w:rPr>
      </w:pPr>
      <w:bookmarkStart w:id="163" w:name="_Toc854"/>
      <w:r>
        <w:rPr>
          <w:rFonts w:hint="eastAsia"/>
        </w:rPr>
        <w:t>参评建筑迎背风面窗平均风压差表</w:t>
      </w:r>
      <w:bookmarkEnd w:id="163"/>
    </w:p>
    <w:p w14:paraId="15788DAD">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64" w:name="建筑迎背风面风压差表_建筑名"/>
      <w:r>
        <w:rPr>
          <w:sz w:val="18"/>
          <w:szCs w:val="18"/>
        </w:rPr>
        <w:t>38#建筑修复版改造后</w:t>
      </w:r>
      <w:bookmarkEnd w:id="164"/>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00862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585A6302">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2CFC9C47">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5427871">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AE92BC8">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6B54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B365CE1">
            <w:pPr>
              <w:spacing w:line="400" w:lineRule="exact"/>
              <w:jc w:val="center"/>
              <w:rPr>
                <w:sz w:val="18"/>
                <w:szCs w:val="18"/>
                <w:lang w:val="en-US"/>
              </w:rPr>
            </w:pPr>
            <w:r>
              <w:rPr>
                <w:rFonts w:hint="eastAsia"/>
                <w:sz w:val="18"/>
                <w:szCs w:val="18"/>
                <w:lang w:val="en-US"/>
              </w:rPr>
              <w:t>1层</w:t>
            </w:r>
          </w:p>
        </w:tc>
        <w:tc>
          <w:tcPr>
            <w:tcW w:w="2142" w:type="dxa"/>
            <w:vAlign w:val="center"/>
          </w:tcPr>
          <w:p w14:paraId="66ACF59B">
            <w:pPr>
              <w:spacing w:line="400" w:lineRule="exact"/>
              <w:jc w:val="center"/>
              <w:rPr>
                <w:sz w:val="18"/>
                <w:szCs w:val="18"/>
                <w:lang w:val="en-US"/>
              </w:rPr>
            </w:pPr>
            <w:r>
              <w:rPr>
                <w:sz w:val="18"/>
                <w:szCs w:val="18"/>
                <w:lang w:val="en-US"/>
              </w:rPr>
              <w:t>0.03</w:t>
            </w:r>
          </w:p>
        </w:tc>
        <w:tc>
          <w:tcPr>
            <w:tcW w:w="2268" w:type="dxa"/>
            <w:vAlign w:val="center"/>
          </w:tcPr>
          <w:p w14:paraId="304A8276">
            <w:pPr>
              <w:spacing w:line="400" w:lineRule="exact"/>
              <w:jc w:val="center"/>
              <w:rPr>
                <w:sz w:val="18"/>
                <w:szCs w:val="18"/>
                <w:lang w:val="en-US"/>
              </w:rPr>
            </w:pPr>
            <w:r>
              <w:rPr>
                <w:sz w:val="18"/>
                <w:szCs w:val="18"/>
                <w:lang w:val="en-US"/>
              </w:rPr>
              <w:t>-0.63</w:t>
            </w:r>
          </w:p>
        </w:tc>
        <w:tc>
          <w:tcPr>
            <w:tcW w:w="2551" w:type="dxa"/>
            <w:vAlign w:val="center"/>
          </w:tcPr>
          <w:p w14:paraId="4E6DD6CB">
            <w:pPr>
              <w:spacing w:line="400" w:lineRule="exact"/>
              <w:jc w:val="center"/>
              <w:rPr>
                <w:sz w:val="18"/>
                <w:szCs w:val="18"/>
                <w:lang w:val="en-US"/>
              </w:rPr>
            </w:pPr>
            <w:r>
              <w:rPr>
                <w:sz w:val="18"/>
                <w:szCs w:val="18"/>
                <w:lang w:val="en-US"/>
              </w:rPr>
              <w:t>0.66</w:t>
            </w:r>
          </w:p>
        </w:tc>
      </w:tr>
      <w:tr w14:paraId="097BD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8159C88">
            <w:pPr>
              <w:spacing w:line="400" w:lineRule="exact"/>
              <w:jc w:val="center"/>
              <w:rPr>
                <w:sz w:val="18"/>
                <w:szCs w:val="18"/>
                <w:lang w:val="en-US"/>
              </w:rPr>
            </w:pPr>
            <w:r>
              <w:rPr>
                <w:sz w:val="18"/>
                <w:szCs w:val="18"/>
                <w:lang w:val="en-US"/>
              </w:rPr>
              <w:t>2层</w:t>
            </w:r>
          </w:p>
        </w:tc>
        <w:tc>
          <w:tcPr>
            <w:tcW w:w="2142" w:type="dxa"/>
            <w:vAlign w:val="center"/>
          </w:tcPr>
          <w:p w14:paraId="11AB6E15">
            <w:pPr>
              <w:spacing w:line="400" w:lineRule="exact"/>
              <w:jc w:val="center"/>
              <w:rPr>
                <w:sz w:val="18"/>
                <w:szCs w:val="18"/>
                <w:lang w:val="en-US"/>
              </w:rPr>
            </w:pPr>
            <w:r>
              <w:rPr>
                <w:sz w:val="18"/>
                <w:szCs w:val="18"/>
                <w:lang w:val="en-US"/>
              </w:rPr>
              <w:t>0.05</w:t>
            </w:r>
          </w:p>
        </w:tc>
        <w:tc>
          <w:tcPr>
            <w:tcW w:w="2268" w:type="dxa"/>
            <w:vAlign w:val="center"/>
          </w:tcPr>
          <w:p w14:paraId="761F1DEA">
            <w:pPr>
              <w:spacing w:line="400" w:lineRule="exact"/>
              <w:jc w:val="center"/>
              <w:rPr>
                <w:sz w:val="18"/>
                <w:szCs w:val="18"/>
                <w:lang w:val="en-US"/>
              </w:rPr>
            </w:pPr>
            <w:r>
              <w:rPr>
                <w:sz w:val="18"/>
                <w:szCs w:val="18"/>
                <w:lang w:val="en-US"/>
              </w:rPr>
              <w:t>-0.56</w:t>
            </w:r>
          </w:p>
        </w:tc>
        <w:tc>
          <w:tcPr>
            <w:tcW w:w="2551" w:type="dxa"/>
            <w:vAlign w:val="center"/>
          </w:tcPr>
          <w:p w14:paraId="3CBF49E7">
            <w:pPr>
              <w:spacing w:line="400" w:lineRule="exact"/>
              <w:jc w:val="center"/>
              <w:rPr>
                <w:sz w:val="18"/>
                <w:szCs w:val="18"/>
                <w:lang w:val="en-US"/>
              </w:rPr>
            </w:pPr>
            <w:r>
              <w:rPr>
                <w:sz w:val="18"/>
                <w:szCs w:val="18"/>
                <w:lang w:val="en-US"/>
              </w:rPr>
              <w:t>0.61</w:t>
            </w:r>
          </w:p>
        </w:tc>
      </w:tr>
      <w:tr w14:paraId="1A672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5C1166A">
            <w:pPr>
              <w:spacing w:line="400" w:lineRule="exact"/>
              <w:jc w:val="center"/>
              <w:rPr>
                <w:sz w:val="18"/>
                <w:szCs w:val="18"/>
                <w:lang w:val="en-US"/>
              </w:rPr>
            </w:pPr>
            <w:r>
              <w:rPr>
                <w:sz w:val="18"/>
                <w:szCs w:val="18"/>
                <w:lang w:val="en-US"/>
              </w:rPr>
              <w:t>3层</w:t>
            </w:r>
          </w:p>
        </w:tc>
        <w:tc>
          <w:tcPr>
            <w:tcW w:w="2142" w:type="dxa"/>
            <w:vAlign w:val="center"/>
          </w:tcPr>
          <w:p w14:paraId="0D0901D6">
            <w:pPr>
              <w:spacing w:line="400" w:lineRule="exact"/>
              <w:jc w:val="center"/>
              <w:rPr>
                <w:sz w:val="18"/>
                <w:szCs w:val="18"/>
                <w:lang w:val="en-US"/>
              </w:rPr>
            </w:pPr>
            <w:r>
              <w:rPr>
                <w:sz w:val="18"/>
                <w:szCs w:val="18"/>
                <w:lang w:val="en-US"/>
              </w:rPr>
              <w:t>0.06</w:t>
            </w:r>
          </w:p>
        </w:tc>
        <w:tc>
          <w:tcPr>
            <w:tcW w:w="2268" w:type="dxa"/>
            <w:vAlign w:val="center"/>
          </w:tcPr>
          <w:p w14:paraId="27709544">
            <w:pPr>
              <w:spacing w:line="400" w:lineRule="exact"/>
              <w:jc w:val="center"/>
              <w:rPr>
                <w:sz w:val="18"/>
                <w:szCs w:val="18"/>
                <w:lang w:val="en-US"/>
              </w:rPr>
            </w:pPr>
            <w:r>
              <w:rPr>
                <w:sz w:val="18"/>
                <w:szCs w:val="18"/>
                <w:lang w:val="en-US"/>
              </w:rPr>
              <w:t>-0.55</w:t>
            </w:r>
          </w:p>
        </w:tc>
        <w:tc>
          <w:tcPr>
            <w:tcW w:w="2551" w:type="dxa"/>
            <w:vAlign w:val="center"/>
          </w:tcPr>
          <w:p w14:paraId="1243E43F">
            <w:pPr>
              <w:spacing w:line="400" w:lineRule="exact"/>
              <w:jc w:val="center"/>
              <w:rPr>
                <w:sz w:val="18"/>
                <w:szCs w:val="18"/>
                <w:lang w:val="en-US"/>
              </w:rPr>
            </w:pPr>
            <w:r>
              <w:rPr>
                <w:sz w:val="18"/>
                <w:szCs w:val="18"/>
                <w:lang w:val="en-US"/>
              </w:rPr>
              <w:t>0.61</w:t>
            </w:r>
          </w:p>
        </w:tc>
      </w:tr>
      <w:tr w14:paraId="213AB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0F95374">
            <w:pPr>
              <w:spacing w:line="400" w:lineRule="exact"/>
              <w:jc w:val="center"/>
              <w:rPr>
                <w:sz w:val="18"/>
                <w:szCs w:val="18"/>
                <w:lang w:val="en-US"/>
              </w:rPr>
            </w:pPr>
            <w:r>
              <w:rPr>
                <w:sz w:val="18"/>
                <w:szCs w:val="18"/>
                <w:lang w:val="en-US"/>
              </w:rPr>
              <w:t>4层</w:t>
            </w:r>
          </w:p>
        </w:tc>
        <w:tc>
          <w:tcPr>
            <w:tcW w:w="2142" w:type="dxa"/>
            <w:vAlign w:val="center"/>
          </w:tcPr>
          <w:p w14:paraId="7472349E">
            <w:pPr>
              <w:spacing w:line="400" w:lineRule="exact"/>
              <w:jc w:val="center"/>
              <w:rPr>
                <w:sz w:val="18"/>
                <w:szCs w:val="18"/>
                <w:lang w:val="en-US"/>
              </w:rPr>
            </w:pPr>
            <w:r>
              <w:rPr>
                <w:sz w:val="18"/>
                <w:szCs w:val="18"/>
                <w:lang w:val="en-US"/>
              </w:rPr>
              <w:t>0.15</w:t>
            </w:r>
          </w:p>
        </w:tc>
        <w:tc>
          <w:tcPr>
            <w:tcW w:w="2268" w:type="dxa"/>
            <w:vAlign w:val="center"/>
          </w:tcPr>
          <w:p w14:paraId="74B098AE">
            <w:pPr>
              <w:spacing w:line="400" w:lineRule="exact"/>
              <w:jc w:val="center"/>
              <w:rPr>
                <w:sz w:val="18"/>
                <w:szCs w:val="18"/>
                <w:lang w:val="en-US"/>
              </w:rPr>
            </w:pPr>
            <w:r>
              <w:rPr>
                <w:sz w:val="18"/>
                <w:szCs w:val="18"/>
                <w:lang w:val="en-US"/>
              </w:rPr>
              <w:t>-0.59</w:t>
            </w:r>
          </w:p>
        </w:tc>
        <w:tc>
          <w:tcPr>
            <w:tcW w:w="2551" w:type="dxa"/>
            <w:vAlign w:val="center"/>
          </w:tcPr>
          <w:p w14:paraId="4ECEA8F1">
            <w:pPr>
              <w:spacing w:line="400" w:lineRule="exact"/>
              <w:jc w:val="center"/>
              <w:rPr>
                <w:sz w:val="18"/>
                <w:szCs w:val="18"/>
                <w:lang w:val="en-US"/>
              </w:rPr>
            </w:pPr>
            <w:r>
              <w:rPr>
                <w:sz w:val="18"/>
                <w:szCs w:val="18"/>
                <w:lang w:val="en-US"/>
              </w:rPr>
              <w:t>0.74</w:t>
            </w:r>
          </w:p>
        </w:tc>
      </w:tr>
      <w:tr w14:paraId="46F04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CCCCF75">
            <w:pPr>
              <w:spacing w:line="400" w:lineRule="exact"/>
              <w:jc w:val="center"/>
              <w:rPr>
                <w:sz w:val="18"/>
                <w:szCs w:val="18"/>
                <w:lang w:val="en-US"/>
              </w:rPr>
            </w:pPr>
            <w:r>
              <w:rPr>
                <w:sz w:val="18"/>
                <w:szCs w:val="18"/>
                <w:lang w:val="en-US"/>
              </w:rPr>
              <w:t>5层</w:t>
            </w:r>
          </w:p>
        </w:tc>
        <w:tc>
          <w:tcPr>
            <w:tcW w:w="2142" w:type="dxa"/>
            <w:vAlign w:val="center"/>
          </w:tcPr>
          <w:p w14:paraId="2C4825D1">
            <w:pPr>
              <w:spacing w:line="400" w:lineRule="exact"/>
              <w:jc w:val="center"/>
              <w:rPr>
                <w:sz w:val="18"/>
                <w:szCs w:val="18"/>
                <w:lang w:val="en-US"/>
              </w:rPr>
            </w:pPr>
            <w:r>
              <w:rPr>
                <w:sz w:val="18"/>
                <w:szCs w:val="18"/>
                <w:lang w:val="en-US"/>
              </w:rPr>
              <w:t>0.21</w:t>
            </w:r>
          </w:p>
        </w:tc>
        <w:tc>
          <w:tcPr>
            <w:tcW w:w="2268" w:type="dxa"/>
            <w:vAlign w:val="center"/>
          </w:tcPr>
          <w:p w14:paraId="024F7355">
            <w:pPr>
              <w:spacing w:line="400" w:lineRule="exact"/>
              <w:jc w:val="center"/>
              <w:rPr>
                <w:sz w:val="18"/>
                <w:szCs w:val="18"/>
                <w:lang w:val="en-US"/>
              </w:rPr>
            </w:pPr>
            <w:r>
              <w:rPr>
                <w:sz w:val="18"/>
                <w:szCs w:val="18"/>
                <w:lang w:val="en-US"/>
              </w:rPr>
              <w:t>-0.63</w:t>
            </w:r>
          </w:p>
        </w:tc>
        <w:tc>
          <w:tcPr>
            <w:tcW w:w="2551" w:type="dxa"/>
            <w:vAlign w:val="center"/>
          </w:tcPr>
          <w:p w14:paraId="0AF88D8F">
            <w:pPr>
              <w:spacing w:line="400" w:lineRule="exact"/>
              <w:jc w:val="center"/>
              <w:rPr>
                <w:sz w:val="18"/>
                <w:szCs w:val="18"/>
                <w:lang w:val="en-US"/>
              </w:rPr>
            </w:pPr>
            <w:r>
              <w:rPr>
                <w:sz w:val="18"/>
                <w:szCs w:val="18"/>
                <w:lang w:val="en-US"/>
              </w:rPr>
              <w:t>0.84</w:t>
            </w:r>
          </w:p>
        </w:tc>
      </w:tr>
      <w:tr w14:paraId="5FB96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6214A5D">
            <w:pPr>
              <w:spacing w:line="400" w:lineRule="exact"/>
              <w:jc w:val="center"/>
              <w:rPr>
                <w:sz w:val="18"/>
                <w:szCs w:val="18"/>
                <w:lang w:val="en-US"/>
              </w:rPr>
            </w:pPr>
            <w:r>
              <w:rPr>
                <w:sz w:val="18"/>
                <w:szCs w:val="18"/>
                <w:lang w:val="en-US"/>
              </w:rPr>
              <w:t>6层</w:t>
            </w:r>
          </w:p>
        </w:tc>
        <w:tc>
          <w:tcPr>
            <w:tcW w:w="2142" w:type="dxa"/>
            <w:vAlign w:val="center"/>
          </w:tcPr>
          <w:p w14:paraId="55706B5A">
            <w:pPr>
              <w:spacing w:line="400" w:lineRule="exact"/>
              <w:jc w:val="center"/>
              <w:rPr>
                <w:sz w:val="18"/>
                <w:szCs w:val="18"/>
                <w:lang w:val="en-US"/>
              </w:rPr>
            </w:pPr>
            <w:r>
              <w:rPr>
                <w:sz w:val="18"/>
                <w:szCs w:val="18"/>
                <w:lang w:val="en-US"/>
              </w:rPr>
              <w:t>0.33</w:t>
            </w:r>
          </w:p>
        </w:tc>
        <w:tc>
          <w:tcPr>
            <w:tcW w:w="2268" w:type="dxa"/>
            <w:vAlign w:val="center"/>
          </w:tcPr>
          <w:p w14:paraId="04FC2226">
            <w:pPr>
              <w:spacing w:line="400" w:lineRule="exact"/>
              <w:jc w:val="center"/>
              <w:rPr>
                <w:sz w:val="18"/>
                <w:szCs w:val="18"/>
                <w:lang w:val="en-US"/>
              </w:rPr>
            </w:pPr>
            <w:r>
              <w:rPr>
                <w:sz w:val="18"/>
                <w:szCs w:val="18"/>
                <w:lang w:val="en-US"/>
              </w:rPr>
              <w:t>-0.63</w:t>
            </w:r>
          </w:p>
        </w:tc>
        <w:tc>
          <w:tcPr>
            <w:tcW w:w="2551" w:type="dxa"/>
            <w:vAlign w:val="center"/>
          </w:tcPr>
          <w:p w14:paraId="754D0B09">
            <w:pPr>
              <w:spacing w:line="400" w:lineRule="exact"/>
              <w:jc w:val="center"/>
              <w:rPr>
                <w:sz w:val="18"/>
                <w:szCs w:val="18"/>
                <w:lang w:val="en-US"/>
              </w:rPr>
            </w:pPr>
            <w:r>
              <w:rPr>
                <w:sz w:val="18"/>
                <w:szCs w:val="18"/>
                <w:lang w:val="en-US"/>
              </w:rPr>
              <w:t>0.96</w:t>
            </w:r>
          </w:p>
        </w:tc>
      </w:tr>
      <w:tr w14:paraId="78E27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47EB3E6">
            <w:pPr>
              <w:spacing w:line="400" w:lineRule="exact"/>
              <w:jc w:val="center"/>
              <w:rPr>
                <w:sz w:val="18"/>
                <w:szCs w:val="18"/>
                <w:lang w:val="en-US"/>
              </w:rPr>
            </w:pPr>
            <w:r>
              <w:rPr>
                <w:rFonts w:hint="eastAsia"/>
                <w:sz w:val="18"/>
                <w:szCs w:val="18"/>
                <w:lang w:val="en-US"/>
              </w:rPr>
              <w:t>7层</w:t>
            </w:r>
          </w:p>
        </w:tc>
        <w:tc>
          <w:tcPr>
            <w:tcW w:w="2142" w:type="dxa"/>
            <w:vAlign w:val="center"/>
          </w:tcPr>
          <w:p w14:paraId="2204283B">
            <w:pPr>
              <w:spacing w:line="400" w:lineRule="exact"/>
              <w:jc w:val="center"/>
              <w:rPr>
                <w:sz w:val="18"/>
                <w:szCs w:val="18"/>
                <w:lang w:val="en-US"/>
              </w:rPr>
            </w:pPr>
            <w:r>
              <w:rPr>
                <w:sz w:val="18"/>
                <w:szCs w:val="18"/>
                <w:lang w:val="en-US"/>
              </w:rPr>
              <w:t>0.01</w:t>
            </w:r>
          </w:p>
        </w:tc>
        <w:tc>
          <w:tcPr>
            <w:tcW w:w="2268" w:type="dxa"/>
            <w:vAlign w:val="center"/>
          </w:tcPr>
          <w:p w14:paraId="5AFE1637">
            <w:pPr>
              <w:spacing w:line="400" w:lineRule="exact"/>
              <w:jc w:val="center"/>
              <w:rPr>
                <w:sz w:val="18"/>
                <w:szCs w:val="18"/>
                <w:lang w:val="en-US"/>
              </w:rPr>
            </w:pPr>
            <w:r>
              <w:rPr>
                <w:sz w:val="18"/>
                <w:szCs w:val="18"/>
                <w:lang w:val="en-US"/>
              </w:rPr>
              <w:t>-0.59</w:t>
            </w:r>
          </w:p>
        </w:tc>
        <w:tc>
          <w:tcPr>
            <w:tcW w:w="2551" w:type="dxa"/>
            <w:vAlign w:val="center"/>
          </w:tcPr>
          <w:p w14:paraId="77C88F77">
            <w:pPr>
              <w:spacing w:line="400" w:lineRule="exact"/>
              <w:jc w:val="center"/>
              <w:rPr>
                <w:sz w:val="18"/>
                <w:szCs w:val="18"/>
                <w:lang w:val="en-US"/>
              </w:rPr>
            </w:pPr>
            <w:r>
              <w:rPr>
                <w:sz w:val="18"/>
                <w:szCs w:val="18"/>
                <w:lang w:val="en-US"/>
              </w:rPr>
              <w:t>0.60</w:t>
            </w:r>
          </w:p>
        </w:tc>
      </w:tr>
      <w:tr w14:paraId="790AC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AF4E5F8">
            <w:pPr>
              <w:spacing w:line="400" w:lineRule="exact"/>
              <w:jc w:val="center"/>
              <w:rPr>
                <w:sz w:val="18"/>
                <w:szCs w:val="18"/>
                <w:lang w:val="en-US"/>
              </w:rPr>
            </w:pPr>
            <w:r>
              <w:rPr>
                <w:rFonts w:hint="eastAsia"/>
                <w:sz w:val="18"/>
                <w:szCs w:val="18"/>
                <w:lang w:val="en-US"/>
              </w:rPr>
              <w:t>整楼</w:t>
            </w:r>
          </w:p>
        </w:tc>
        <w:tc>
          <w:tcPr>
            <w:tcW w:w="2142" w:type="dxa"/>
            <w:vAlign w:val="center"/>
          </w:tcPr>
          <w:p w14:paraId="34CFC853">
            <w:pPr>
              <w:spacing w:line="400" w:lineRule="exact"/>
              <w:jc w:val="center"/>
              <w:rPr>
                <w:sz w:val="18"/>
                <w:szCs w:val="18"/>
                <w:lang w:val="en-US"/>
              </w:rPr>
            </w:pPr>
            <w:r>
              <w:rPr>
                <w:sz w:val="18"/>
                <w:szCs w:val="18"/>
                <w:lang w:val="en-US"/>
              </w:rPr>
              <w:t>0.12</w:t>
            </w:r>
          </w:p>
        </w:tc>
        <w:tc>
          <w:tcPr>
            <w:tcW w:w="2268" w:type="dxa"/>
            <w:vAlign w:val="center"/>
          </w:tcPr>
          <w:p w14:paraId="0CDE559C">
            <w:pPr>
              <w:spacing w:line="400" w:lineRule="exact"/>
              <w:jc w:val="center"/>
              <w:rPr>
                <w:sz w:val="18"/>
                <w:szCs w:val="18"/>
                <w:lang w:val="en-US"/>
              </w:rPr>
            </w:pPr>
            <w:r>
              <w:rPr>
                <w:sz w:val="18"/>
                <w:szCs w:val="18"/>
                <w:lang w:val="en-US"/>
              </w:rPr>
              <w:t>-0.60</w:t>
            </w:r>
          </w:p>
        </w:tc>
        <w:tc>
          <w:tcPr>
            <w:tcW w:w="2551" w:type="dxa"/>
            <w:vAlign w:val="center"/>
          </w:tcPr>
          <w:p w14:paraId="72773E64">
            <w:pPr>
              <w:spacing w:line="400" w:lineRule="exact"/>
              <w:jc w:val="center"/>
              <w:rPr>
                <w:sz w:val="18"/>
                <w:szCs w:val="18"/>
                <w:lang w:val="en-US"/>
              </w:rPr>
            </w:pPr>
            <w:r>
              <w:rPr>
                <w:sz w:val="18"/>
                <w:szCs w:val="18"/>
                <w:lang w:val="en-US"/>
              </w:rPr>
              <w:t>0.72</w:t>
            </w:r>
          </w:p>
        </w:tc>
      </w:tr>
      <w:bookmarkEnd w:id="0"/>
    </w:tbl>
    <w:p w14:paraId="583704AE">
      <w:bookmarkStart w:id="165" w:name="结论"/>
      <w:bookmarkEnd w:id="165"/>
    </w:p>
    <w:p w14:paraId="71BDE033">
      <w:pPr>
        <w:pStyle w:val="3"/>
        <w:ind w:firstLine="420"/>
        <w:rPr>
          <w:rFonts w:hint="eastAsia" w:ascii="微软雅黑" w:hAnsi="微软雅黑" w:eastAsia="微软雅黑"/>
          <w:lang w:val="en-US"/>
        </w:rPr>
      </w:pPr>
      <w:bookmarkStart w:id="166" w:name="迎风建筑信息参评"/>
      <w:bookmarkEnd w:id="166"/>
    </w:p>
    <w:p w14:paraId="469422DF">
      <w:pPr>
        <w:pStyle w:val="4"/>
        <w:rPr>
          <w:rFonts w:hint="eastAsia"/>
        </w:rPr>
      </w:pPr>
      <w:bookmarkStart w:id="167" w:name="_Toc29246"/>
      <w:r>
        <w:rPr>
          <w:rFonts w:hint="eastAsia"/>
        </w:rPr>
        <w:t>不参评建筑迎背风面窗平均风压差表</w:t>
      </w:r>
      <w:bookmarkEnd w:id="167"/>
    </w:p>
    <w:p w14:paraId="386E58A8">
      <w:pPr>
        <w:pStyle w:val="3"/>
        <w:ind w:firstLine="420"/>
        <w:rPr>
          <w:rFonts w:hint="eastAsia" w:ascii="微软雅黑" w:hAnsi="微软雅黑" w:eastAsia="微软雅黑"/>
          <w:lang w:val="en-US"/>
        </w:rPr>
      </w:pPr>
      <w:bookmarkStart w:id="168" w:name="迎风建筑信息不参评"/>
      <w:bookmarkEnd w:id="168"/>
    </w:p>
    <w:bookmarkEnd w:id="162"/>
    <w:p w14:paraId="1D1EA704">
      <w:pPr>
        <w:pStyle w:val="3"/>
        <w:ind w:firstLine="0" w:firstLineChars="0"/>
        <w:rPr>
          <w:rFonts w:hint="eastAsia"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C3A3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6FAA03E8">
          <w:pPr>
            <w:pStyle w:val="17"/>
            <w:spacing w:line="360" w:lineRule="exact"/>
            <w:rPr>
              <w:rFonts w:hint="eastAsia"/>
              <w:sz w:val="20"/>
              <w:szCs w:val="21"/>
            </w:rPr>
          </w:pPr>
        </w:p>
      </w:tc>
      <w:tc>
        <w:tcPr>
          <w:tcW w:w="2841" w:type="dxa"/>
        </w:tcPr>
        <w:p w14:paraId="2E3D8A94">
          <w:pPr>
            <w:pStyle w:val="17"/>
            <w:spacing w:line="360" w:lineRule="exact"/>
            <w:jc w:val="center"/>
            <w:rPr>
              <w:rFonts w:hint="eastAsia"/>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50B5E49">
          <w:pPr>
            <w:pStyle w:val="17"/>
            <w:spacing w:line="360" w:lineRule="exact"/>
            <w:jc w:val="right"/>
            <w:rPr>
              <w:rFonts w:hint="eastAsia"/>
              <w:sz w:val="20"/>
              <w:szCs w:val="21"/>
            </w:rPr>
          </w:pPr>
        </w:p>
      </w:tc>
    </w:tr>
  </w:tbl>
  <w:p w14:paraId="3DD98C64">
    <w:pPr>
      <w:pStyle w:val="1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D89E1">
    <w:pPr>
      <w:pStyle w:val="17"/>
      <w:jc w:val="center"/>
      <w:rPr>
        <w:rFonts w:hint="eastAsia" w:asciiTheme="minorEastAsia" w:hAnsiTheme="minorEastAsia" w:eastAsiaTheme="minorEastAsia"/>
        <w:szCs w:val="21"/>
      </w:rPr>
    </w:pPr>
  </w:p>
  <w:p w14:paraId="7B461BAF">
    <w:pPr>
      <w:pStyle w:val="17"/>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F32C3">
    <w:pPr>
      <w:pStyle w:val="18"/>
      <w:pBdr>
        <w:bottom w:val="single" w:color="auto" w:sz="6" w:space="0"/>
      </w:pBdr>
      <w:jc w:val="left"/>
      <w:rPr>
        <w:rFonts w:hint="eastAsia"/>
      </w:rPr>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4E7C9">
    <w:pPr>
      <w:pStyle w:val="18"/>
      <w:pBdr>
        <w:bottom w:val="single" w:color="auto" w:sz="6" w:space="0"/>
      </w:pBdr>
      <w:jc w:val="left"/>
      <w:rPr>
        <w:rFonts w:hint="eastAsia"/>
      </w:rPr>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AD07EE"/>
    <w:rsid w:val="00000E39"/>
    <w:rsid w:val="00005045"/>
    <w:rsid w:val="0000578F"/>
    <w:rsid w:val="0002001E"/>
    <w:rsid w:val="000219DF"/>
    <w:rsid w:val="00024F0C"/>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0321"/>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0646"/>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11A7"/>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5E54"/>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0975"/>
    <w:rsid w:val="00962922"/>
    <w:rsid w:val="00966AA0"/>
    <w:rsid w:val="00972F40"/>
    <w:rsid w:val="00972F8C"/>
    <w:rsid w:val="00974ECB"/>
    <w:rsid w:val="009812A9"/>
    <w:rsid w:val="009904E5"/>
    <w:rsid w:val="009A2274"/>
    <w:rsid w:val="009A4F1F"/>
    <w:rsid w:val="009B5357"/>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3CE"/>
    <w:rsid w:val="00B51A2D"/>
    <w:rsid w:val="00B55B22"/>
    <w:rsid w:val="00B5678B"/>
    <w:rsid w:val="00B5736D"/>
    <w:rsid w:val="00B6082C"/>
    <w:rsid w:val="00B60841"/>
    <w:rsid w:val="00B67401"/>
    <w:rsid w:val="00B67D57"/>
    <w:rsid w:val="00B71B30"/>
    <w:rsid w:val="00B73C41"/>
    <w:rsid w:val="00B7457E"/>
    <w:rsid w:val="00B757DF"/>
    <w:rsid w:val="00B81F9F"/>
    <w:rsid w:val="00B824AA"/>
    <w:rsid w:val="00B84271"/>
    <w:rsid w:val="00B86C89"/>
    <w:rsid w:val="00BA25C3"/>
    <w:rsid w:val="00BB1BF9"/>
    <w:rsid w:val="00BB7042"/>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86112"/>
    <w:rsid w:val="00D9645E"/>
    <w:rsid w:val="00D97D3C"/>
    <w:rsid w:val="00DA0532"/>
    <w:rsid w:val="00DA15CB"/>
    <w:rsid w:val="00DA4173"/>
    <w:rsid w:val="00DA66B2"/>
    <w:rsid w:val="00DB09A4"/>
    <w:rsid w:val="00DC5E38"/>
    <w:rsid w:val="00DC73AD"/>
    <w:rsid w:val="00DD16C4"/>
    <w:rsid w:val="00DD2870"/>
    <w:rsid w:val="00DD610B"/>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36B33"/>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22A7"/>
    <w:rsid w:val="00FC7756"/>
    <w:rsid w:val="00FE4CC4"/>
    <w:rsid w:val="00FE79B9"/>
    <w:rsid w:val="00FF2243"/>
    <w:rsid w:val="24CF1E67"/>
    <w:rsid w:val="41AD0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numbering" Target="numbering.xml"/><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wmf"/><Relationship Id="rId31" Type="http://schemas.openxmlformats.org/officeDocument/2006/relationships/oleObject" Target="embeddings/oleObject7.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4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9A674-386D-44C8-9B72-35D0F5040653}">
  <ds:schemaRefs/>
</ds:datastoreItem>
</file>

<file path=docProps/app.xml><?xml version="1.0" encoding="utf-8"?>
<Properties xmlns="http://schemas.openxmlformats.org/officeDocument/2006/extended-properties" xmlns:vt="http://schemas.openxmlformats.org/officeDocument/2006/docPropsVTypes">
  <Template>tmp149.dotx</Template>
  <Pages>32</Pages>
  <Words>7702</Words>
  <Characters>8821</Characters>
  <Lines>47</Lines>
  <Paragraphs>13</Paragraphs>
  <TotalTime>0</TotalTime>
  <ScaleCrop>false</ScaleCrop>
  <LinksUpToDate>false</LinksUpToDate>
  <CharactersWithSpaces>11091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2026-05-12T12:36:00Z</dcterms:created>
  <dc:creator>Administrator</dc:creator>
  <cp:lastModifiedBy>Administrator</cp:lastModifiedBy>
  <dcterms:modified xsi:type="dcterms:W3CDTF">2026-05-12T12:37:05Z</dcterms:modified>
  <dc:title>室外风环境模拟分析报告</dc:title>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385FAC7A57784D13BAA2B2400920B78A_11</vt:lpwstr>
  </property>
  <property fmtid="{D5CDD505-2E9C-101B-9397-08002B2CF9AE}" pid="4" name="KSOTemplateDocerSaveRecord">
    <vt:lpwstr>eyJoZGlkIjoiMzg2ZGM5YzBmOGM2ZGYzZTg1NDY2ZTQ1ZGU2YmQ4MzMiLCJ1c2VySWQiOiIzMTM1OTY0ODUifQ==</vt:lpwstr>
  </property>
</Properties>
</file>