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5D506">
      <w:pPr>
        <w:pStyle w:val="48"/>
        <w:spacing w:line="240" w:lineRule="exact"/>
        <w:rPr>
          <w:rFonts w:hint="eastAsia"/>
          <w:b/>
          <w:sz w:val="21"/>
          <w:szCs w:val="21"/>
        </w:rPr>
      </w:pPr>
    </w:p>
    <w:p w14:paraId="341A3FAA">
      <w:pPr>
        <w:pStyle w:val="48"/>
        <w:spacing w:line="240" w:lineRule="exact"/>
        <w:rPr>
          <w:rFonts w:hint="eastAsia"/>
          <w:b/>
          <w:sz w:val="21"/>
          <w:szCs w:val="21"/>
        </w:rPr>
      </w:pPr>
    </w:p>
    <w:p w14:paraId="6E093997">
      <w:pPr>
        <w:pStyle w:val="48"/>
        <w:spacing w:line="240" w:lineRule="exact"/>
        <w:rPr>
          <w:rFonts w:hint="eastAsia"/>
          <w:b/>
          <w:sz w:val="21"/>
          <w:szCs w:val="21"/>
        </w:rPr>
      </w:pPr>
    </w:p>
    <w:p w14:paraId="72F35814">
      <w:pPr>
        <w:pStyle w:val="48"/>
        <w:ind w:right="-57" w:rightChars="-27"/>
        <w:jc w:val="distribute"/>
        <w:rPr>
          <w:rFonts w:hint="eastAsia"/>
          <w:b/>
          <w:sz w:val="72"/>
          <w:szCs w:val="72"/>
        </w:rPr>
      </w:pPr>
      <w:r>
        <w:rPr>
          <w:rFonts w:hint="eastAsia"/>
          <w:b/>
          <w:sz w:val="72"/>
          <w:szCs w:val="72"/>
        </w:rPr>
        <w:t>室内热湿环境评价</w:t>
      </w:r>
    </w:p>
    <w:p w14:paraId="7C86EBC7">
      <w:pPr>
        <w:pStyle w:val="52"/>
        <w:rPr>
          <w:rFonts w:hint="eastAsia"/>
          <w:sz w:val="52"/>
          <w:szCs w:val="52"/>
        </w:rPr>
      </w:pPr>
      <w:bookmarkStart w:id="0" w:name="建筑类别"/>
      <w:r>
        <w:rPr>
          <w:rFonts w:hint="eastAsia"/>
          <w:sz w:val="52"/>
          <w:szCs w:val="52"/>
        </w:rPr>
        <w:t>居住建筑</w:t>
      </w:r>
    </w:p>
    <w:bookmarkEnd w:id="0"/>
    <w:p w14:paraId="5F101C84">
      <w:pPr>
        <w:pStyle w:val="52"/>
        <w:spacing w:line="400" w:lineRule="exact"/>
        <w:rPr>
          <w:rFonts w:hint="eastAsia"/>
        </w:rPr>
      </w:pPr>
    </w:p>
    <w:p w14:paraId="0822CB19">
      <w:pPr>
        <w:pStyle w:val="52"/>
        <w:rPr>
          <w:rFonts w:hint="eastAsia"/>
          <w:sz w:val="36"/>
          <w:szCs w:val="36"/>
        </w:rPr>
      </w:pPr>
      <w:bookmarkStart w:id="1" w:name="项目名称"/>
      <w:r>
        <w:rPr>
          <w:rFonts w:hint="eastAsia"/>
          <w:sz w:val="36"/>
          <w:szCs w:val="36"/>
        </w:rPr>
        <w:t>宝丰苑（三期）</w:t>
      </w:r>
    </w:p>
    <w:bookmarkEnd w:id="1"/>
    <w:p w14:paraId="39D63B13">
      <w:pPr>
        <w:pStyle w:val="52"/>
        <w:rPr>
          <w:rFonts w:hint="eastAsia"/>
          <w:b/>
        </w:rPr>
      </w:pPr>
      <w:r>
        <w:rPr>
          <w:rFonts w:hint="eastAsia"/>
          <w:b/>
        </w:rPr>
        <w:t>设计编号：</w:t>
      </w:r>
      <w:bookmarkStart w:id="2" w:name="设计编号"/>
      <w:bookmarkEnd w:id="2"/>
    </w:p>
    <w:p w14:paraId="6AA51C32">
      <w:pPr>
        <w:pStyle w:val="52"/>
        <w:rPr>
          <w:rFonts w:hint="eastAsia"/>
          <w:b/>
        </w:rPr>
      </w:pPr>
    </w:p>
    <w:p w14:paraId="5B379144">
      <w:pPr>
        <w:pStyle w:val="48"/>
        <w:jc w:val="center"/>
        <w:rPr>
          <w:rFonts w:hint="eastAsia"/>
          <w:sz w:val="21"/>
          <w:szCs w:val="21"/>
        </w:rPr>
      </w:pPr>
      <w:bookmarkStart w:id="3" w:name="二维码"/>
      <w:bookmarkEnd w:id="3"/>
    </w:p>
    <w:p w14:paraId="7DCCB524">
      <w:pPr>
        <w:pStyle w:val="48"/>
        <w:spacing w:line="240" w:lineRule="exact"/>
        <w:rPr>
          <w:rFonts w:hint="eastAsia"/>
          <w:sz w:val="21"/>
          <w:szCs w:val="21"/>
        </w:rPr>
      </w:pPr>
    </w:p>
    <w:p w14:paraId="314E254F">
      <w:pPr>
        <w:pStyle w:val="48"/>
        <w:spacing w:line="240" w:lineRule="exact"/>
        <w:rPr>
          <w:rFonts w:hint="eastAsia"/>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FF6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DFA0BA9">
            <w:pPr>
              <w:pStyle w:val="48"/>
              <w:spacing w:line="600" w:lineRule="exact"/>
              <w:jc w:val="distribute"/>
              <w:rPr>
                <w:rFonts w:hint="eastAsia"/>
              </w:rPr>
            </w:pPr>
            <w:r>
              <w:rPr>
                <w:rFonts w:hint="eastAsia"/>
              </w:rPr>
              <w:t>工程地点</w:t>
            </w:r>
          </w:p>
        </w:tc>
        <w:tc>
          <w:tcPr>
            <w:tcW w:w="475" w:type="dxa"/>
            <w:vAlign w:val="center"/>
          </w:tcPr>
          <w:p w14:paraId="1C9E2292">
            <w:pPr>
              <w:pStyle w:val="48"/>
              <w:spacing w:line="600" w:lineRule="exact"/>
              <w:ind w:right="-31" w:rightChars="-15"/>
              <w:jc w:val="center"/>
              <w:rPr>
                <w:rFonts w:hint="eastAsia"/>
              </w:rPr>
            </w:pPr>
            <w:r>
              <w:rPr>
                <w:rFonts w:hint="eastAsia"/>
              </w:rPr>
              <w:t>：</w:t>
            </w:r>
          </w:p>
        </w:tc>
        <w:tc>
          <w:tcPr>
            <w:tcW w:w="4624" w:type="dxa"/>
            <w:tcBorders>
              <w:bottom w:val="single" w:color="auto" w:sz="4" w:space="0"/>
            </w:tcBorders>
            <w:vAlign w:val="center"/>
          </w:tcPr>
          <w:p w14:paraId="79A0FC26">
            <w:pPr>
              <w:pStyle w:val="48"/>
              <w:spacing w:line="600" w:lineRule="exact"/>
              <w:jc w:val="center"/>
              <w:rPr>
                <w:rFonts w:hint="eastAsia"/>
              </w:rPr>
            </w:pPr>
            <w:bookmarkStart w:id="4" w:name="项目地点"/>
            <w:r>
              <w:t>银川</w:t>
            </w:r>
            <w:bookmarkEnd w:id="4"/>
            <w:bookmarkStart w:id="5" w:name="工程地点"/>
            <w:bookmarkEnd w:id="5"/>
          </w:p>
        </w:tc>
      </w:tr>
      <w:tr w14:paraId="40ED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D28E9E">
            <w:pPr>
              <w:pStyle w:val="48"/>
              <w:spacing w:line="600" w:lineRule="exact"/>
              <w:jc w:val="distribute"/>
              <w:rPr>
                <w:rFonts w:hint="eastAsia"/>
              </w:rPr>
            </w:pPr>
            <w:r>
              <w:rPr>
                <w:rFonts w:hint="eastAsia"/>
              </w:rPr>
              <w:t>建设单位</w:t>
            </w:r>
          </w:p>
        </w:tc>
        <w:tc>
          <w:tcPr>
            <w:tcW w:w="475" w:type="dxa"/>
            <w:vAlign w:val="center"/>
          </w:tcPr>
          <w:p w14:paraId="0FB60916">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5587419F">
            <w:pPr>
              <w:pStyle w:val="48"/>
              <w:spacing w:line="600" w:lineRule="exact"/>
              <w:jc w:val="center"/>
              <w:rPr>
                <w:rFonts w:hint="eastAsia"/>
              </w:rPr>
            </w:pPr>
            <w:bookmarkStart w:id="6" w:name="建设单位"/>
            <w:bookmarkEnd w:id="6"/>
          </w:p>
        </w:tc>
      </w:tr>
      <w:tr w14:paraId="2440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AA2F3F">
            <w:pPr>
              <w:pStyle w:val="48"/>
              <w:spacing w:line="600" w:lineRule="exact"/>
              <w:jc w:val="distribute"/>
              <w:rPr>
                <w:rFonts w:hint="eastAsia"/>
              </w:rPr>
            </w:pPr>
            <w:r>
              <w:rPr>
                <w:rFonts w:hint="eastAsia"/>
              </w:rPr>
              <w:t>设计单位</w:t>
            </w:r>
          </w:p>
        </w:tc>
        <w:tc>
          <w:tcPr>
            <w:tcW w:w="475" w:type="dxa"/>
            <w:vAlign w:val="center"/>
          </w:tcPr>
          <w:p w14:paraId="40E36A3D">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6F6F84A4">
            <w:pPr>
              <w:pStyle w:val="48"/>
              <w:spacing w:line="600" w:lineRule="exact"/>
              <w:jc w:val="center"/>
              <w:rPr>
                <w:rFonts w:hint="eastAsia"/>
              </w:rPr>
            </w:pPr>
            <w:bookmarkStart w:id="7" w:name="设计单位"/>
            <w:r>
              <w:t>华诚博远(北京)建筑规划设计有限公司</w:t>
            </w:r>
            <w:bookmarkEnd w:id="7"/>
          </w:p>
        </w:tc>
      </w:tr>
      <w:tr w14:paraId="7259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AEDB218">
            <w:pPr>
              <w:pStyle w:val="48"/>
              <w:spacing w:line="600" w:lineRule="exact"/>
              <w:jc w:val="distribute"/>
              <w:rPr>
                <w:rFonts w:hint="eastAsia"/>
              </w:rPr>
            </w:pPr>
            <w:r>
              <w:rPr>
                <w:rFonts w:hint="eastAsia"/>
              </w:rPr>
              <w:t>设计人</w:t>
            </w:r>
          </w:p>
        </w:tc>
        <w:tc>
          <w:tcPr>
            <w:tcW w:w="475" w:type="dxa"/>
            <w:vAlign w:val="center"/>
          </w:tcPr>
          <w:p w14:paraId="6BD6282B">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11CFF794">
            <w:pPr>
              <w:pStyle w:val="48"/>
              <w:spacing w:line="600" w:lineRule="exact"/>
              <w:jc w:val="center"/>
              <w:rPr>
                <w:rFonts w:hint="eastAsia"/>
              </w:rPr>
            </w:pPr>
          </w:p>
        </w:tc>
      </w:tr>
      <w:tr w14:paraId="016F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4BFF1B1">
            <w:pPr>
              <w:pStyle w:val="48"/>
              <w:spacing w:line="600" w:lineRule="exact"/>
              <w:jc w:val="distribute"/>
              <w:rPr>
                <w:rFonts w:hint="eastAsia"/>
              </w:rPr>
            </w:pPr>
            <w:r>
              <w:rPr>
                <w:rFonts w:hint="eastAsia"/>
              </w:rPr>
              <w:t>校对人</w:t>
            </w:r>
          </w:p>
        </w:tc>
        <w:tc>
          <w:tcPr>
            <w:tcW w:w="475" w:type="dxa"/>
            <w:vAlign w:val="center"/>
          </w:tcPr>
          <w:p w14:paraId="02A7F888">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00F63C2C">
            <w:pPr>
              <w:pStyle w:val="48"/>
              <w:spacing w:line="600" w:lineRule="exact"/>
              <w:jc w:val="center"/>
              <w:rPr>
                <w:rFonts w:hint="eastAsia"/>
              </w:rPr>
            </w:pPr>
          </w:p>
        </w:tc>
      </w:tr>
      <w:tr w14:paraId="134E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CFB1D04">
            <w:pPr>
              <w:pStyle w:val="48"/>
              <w:spacing w:line="600" w:lineRule="exact"/>
              <w:jc w:val="distribute"/>
              <w:rPr>
                <w:rFonts w:hint="eastAsia"/>
              </w:rPr>
            </w:pPr>
            <w:r>
              <w:rPr>
                <w:rFonts w:hint="eastAsia"/>
              </w:rPr>
              <w:t>审定人</w:t>
            </w:r>
          </w:p>
        </w:tc>
        <w:tc>
          <w:tcPr>
            <w:tcW w:w="475" w:type="dxa"/>
            <w:vAlign w:val="center"/>
          </w:tcPr>
          <w:p w14:paraId="6894D42F">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309D0829">
            <w:pPr>
              <w:pStyle w:val="48"/>
              <w:spacing w:line="600" w:lineRule="exact"/>
              <w:jc w:val="center"/>
              <w:rPr>
                <w:rFonts w:hint="eastAsia"/>
              </w:rPr>
            </w:pPr>
          </w:p>
        </w:tc>
      </w:tr>
      <w:tr w14:paraId="414A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244AB02">
            <w:pPr>
              <w:pStyle w:val="48"/>
              <w:spacing w:line="600" w:lineRule="exact"/>
              <w:jc w:val="distribute"/>
              <w:rPr>
                <w:rFonts w:hint="eastAsia"/>
              </w:rPr>
            </w:pPr>
            <w:r>
              <w:rPr>
                <w:rFonts w:hint="eastAsia"/>
              </w:rPr>
              <w:t>报告日期</w:t>
            </w:r>
          </w:p>
        </w:tc>
        <w:tc>
          <w:tcPr>
            <w:tcW w:w="475" w:type="dxa"/>
            <w:vAlign w:val="center"/>
          </w:tcPr>
          <w:p w14:paraId="2F613CBA">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40636C9C">
            <w:pPr>
              <w:pStyle w:val="48"/>
              <w:spacing w:line="600" w:lineRule="exact"/>
              <w:jc w:val="center"/>
              <w:rPr>
                <w:rFonts w:hint="eastAsia"/>
              </w:rPr>
            </w:pPr>
            <w:bookmarkStart w:id="8" w:name="报告日期"/>
            <w:r>
              <w:t>2026年05月12日</w:t>
            </w:r>
            <w:bookmarkEnd w:id="8"/>
          </w:p>
        </w:tc>
      </w:tr>
    </w:tbl>
    <w:p w14:paraId="5EC2E781">
      <w:pPr>
        <w:spacing w:line="240" w:lineRule="exact"/>
      </w:pPr>
    </w:p>
    <w:p w14:paraId="76382B88">
      <w:pPr>
        <w:pStyle w:val="50"/>
        <w:rPr>
          <w:rFonts w:hint="eastAsia"/>
          <w:sz w:val="21"/>
        </w:rPr>
      </w:pPr>
    </w:p>
    <w:p w14:paraId="63EB0148">
      <w:pPr>
        <w:pStyle w:val="50"/>
        <w:rPr>
          <w:rFonts w:hint="eastAsia"/>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D96246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99D112E">
            <w:pPr>
              <w:pStyle w:val="50"/>
              <w:jc w:val="distribute"/>
              <w:rPr>
                <w:rFonts w:hint="eastAsia"/>
                <w:szCs w:val="18"/>
              </w:rPr>
            </w:pPr>
            <w:r>
              <w:rPr>
                <w:rFonts w:hint="eastAsia"/>
                <w:szCs w:val="18"/>
              </w:rPr>
              <w:t>采用软件</w:t>
            </w:r>
          </w:p>
        </w:tc>
        <w:tc>
          <w:tcPr>
            <w:tcW w:w="3143" w:type="dxa"/>
            <w:tcBorders>
              <w:top w:val="single" w:color="auto" w:sz="2" w:space="0"/>
              <w:left w:val="nil"/>
              <w:bottom w:val="nil"/>
              <w:right w:val="nil"/>
            </w:tcBorders>
            <w:vAlign w:val="bottom"/>
          </w:tcPr>
          <w:p w14:paraId="29A8EC60">
            <w:pPr>
              <w:pStyle w:val="50"/>
              <w:rPr>
                <w:rFonts w:hint="eastAsia"/>
                <w:szCs w:val="18"/>
              </w:rPr>
            </w:pPr>
            <w:r>
              <w:rPr>
                <w:rFonts w:hint="eastAsia"/>
                <w:szCs w:val="18"/>
              </w:rPr>
              <w:t xml:space="preserve">: </w:t>
            </w:r>
            <w:bookmarkStart w:id="9" w:name="采用软件"/>
            <w:r>
              <w:rPr>
                <w:rFonts w:hint="eastAsia"/>
                <w:szCs w:val="18"/>
              </w:rPr>
              <w:t>室内热舒适ITES2026</w:t>
            </w:r>
            <w:bookmarkEnd w:id="9"/>
          </w:p>
        </w:tc>
        <w:tc>
          <w:tcPr>
            <w:tcW w:w="3958" w:type="dxa"/>
            <w:vMerge w:val="restart"/>
            <w:tcBorders>
              <w:top w:val="single" w:color="auto" w:sz="2" w:space="0"/>
              <w:left w:val="nil"/>
              <w:bottom w:val="nil"/>
              <w:right w:val="nil"/>
            </w:tcBorders>
            <w:vAlign w:val="bottom"/>
          </w:tcPr>
          <w:p w14:paraId="5080F079">
            <w:pPr>
              <w:pStyle w:val="50"/>
              <w:spacing w:line="240" w:lineRule="auto"/>
              <w:ind w:firstLine="360"/>
              <w:jc w:val="right"/>
              <w:rPr>
                <w:rFonts w:hint="eastAsia"/>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120449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3FE6F97">
            <w:pPr>
              <w:pStyle w:val="50"/>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530B98F2">
            <w:pPr>
              <w:pStyle w:val="50"/>
              <w:rPr>
                <w:rFonts w:hint="eastAsia"/>
              </w:rPr>
            </w:pPr>
            <w:r>
              <w:rPr>
                <w:rFonts w:hint="eastAsia"/>
              </w:rPr>
              <w:t xml:space="preserve">: </w:t>
            </w:r>
            <w:bookmarkStart w:id="10" w:name="软件版本"/>
            <w:r>
              <w:rPr>
                <w:rFonts w:hint="eastAsia"/>
              </w:rPr>
              <w:t>20260303(SP1)</w:t>
            </w:r>
            <w:bookmarkEnd w:id="10"/>
          </w:p>
        </w:tc>
        <w:tc>
          <w:tcPr>
            <w:tcW w:w="3958" w:type="dxa"/>
            <w:vMerge w:val="continue"/>
            <w:tcBorders>
              <w:top w:val="single" w:color="auto" w:sz="2" w:space="0"/>
              <w:left w:val="nil"/>
              <w:bottom w:val="nil"/>
              <w:right w:val="nil"/>
            </w:tcBorders>
            <w:vAlign w:val="center"/>
          </w:tcPr>
          <w:p w14:paraId="7EF75261">
            <w:pPr>
              <w:ind w:firstLine="360"/>
              <w:rPr>
                <w:sz w:val="18"/>
                <w:szCs w:val="18"/>
              </w:rPr>
            </w:pPr>
          </w:p>
        </w:tc>
      </w:tr>
      <w:tr w14:paraId="0D19EBD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DF4C167">
            <w:pPr>
              <w:pStyle w:val="50"/>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31AC7731">
            <w:pPr>
              <w:pStyle w:val="50"/>
              <w:rPr>
                <w:rFonts w:hint="eastAsia"/>
                <w:szCs w:val="18"/>
              </w:rPr>
            </w:pPr>
            <w:r>
              <w:rPr>
                <w:rFonts w:hint="eastAsia"/>
                <w:szCs w:val="18"/>
              </w:rPr>
              <w:t xml:space="preserve">: </w:t>
            </w:r>
            <w:bookmarkStart w:id="11" w:name="加密锁号"/>
            <w:r>
              <w:rPr>
                <w:rFonts w:hint="eastAsia"/>
                <w:szCs w:val="18"/>
              </w:rPr>
              <w:t>P396E1CAA</w:t>
            </w:r>
            <w:bookmarkEnd w:id="11"/>
          </w:p>
        </w:tc>
        <w:tc>
          <w:tcPr>
            <w:tcW w:w="3958" w:type="dxa"/>
            <w:vMerge w:val="continue"/>
            <w:tcBorders>
              <w:top w:val="single" w:color="auto" w:sz="2" w:space="0"/>
              <w:left w:val="nil"/>
              <w:bottom w:val="nil"/>
              <w:right w:val="nil"/>
            </w:tcBorders>
            <w:vAlign w:val="center"/>
          </w:tcPr>
          <w:p w14:paraId="4065667F">
            <w:pPr>
              <w:ind w:firstLine="360"/>
              <w:rPr>
                <w:sz w:val="18"/>
                <w:szCs w:val="18"/>
              </w:rPr>
            </w:pPr>
          </w:p>
        </w:tc>
      </w:tr>
      <w:tr w14:paraId="41C08A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67A029B">
            <w:pPr>
              <w:pStyle w:val="50"/>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01C2CA2E">
            <w:pPr>
              <w:pStyle w:val="50"/>
              <w:rPr>
                <w:rFonts w:hint="eastAsia"/>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8D30055">
            <w:pPr>
              <w:ind w:firstLine="360"/>
              <w:rPr>
                <w:sz w:val="18"/>
                <w:szCs w:val="18"/>
              </w:rPr>
            </w:pPr>
          </w:p>
        </w:tc>
      </w:tr>
    </w:tbl>
    <w:p w14:paraId="128E6E9A">
      <w:pPr>
        <w:jc w:val="center"/>
        <w:rPr>
          <w:rFonts w:hint="eastAsia"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673A4954">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_Toc4964 </w:instrText>
      </w:r>
      <w:r>
        <w:rPr>
          <w:szCs w:val="32"/>
        </w:rPr>
        <w:fldChar w:fldCharType="separate"/>
      </w:r>
      <w:r>
        <w:rPr>
          <w:rFonts w:hint="eastAsia"/>
        </w:rPr>
        <w:t>1 项目概况</w:t>
      </w:r>
      <w:r>
        <w:tab/>
      </w:r>
      <w:r>
        <w:fldChar w:fldCharType="begin"/>
      </w:r>
      <w:r>
        <w:instrText xml:space="preserve"> PAGEREF _Toc4964 \h </w:instrText>
      </w:r>
      <w:r>
        <w:fldChar w:fldCharType="separate"/>
      </w:r>
      <w:r>
        <w:t>3</w:t>
      </w:r>
      <w:r>
        <w:fldChar w:fldCharType="end"/>
      </w:r>
      <w:r>
        <w:rPr>
          <w:szCs w:val="32"/>
        </w:rPr>
        <w:fldChar w:fldCharType="end"/>
      </w:r>
    </w:p>
    <w:p w14:paraId="231C2D7A">
      <w:pPr>
        <w:pStyle w:val="20"/>
        <w:tabs>
          <w:tab w:val="right" w:leader="dot" w:pos="8312"/>
          <w:tab w:val="clear" w:pos="540"/>
          <w:tab w:val="clear" w:pos="840"/>
          <w:tab w:val="clear" w:pos="8222"/>
        </w:tabs>
      </w:pPr>
      <w:r>
        <w:rPr>
          <w:szCs w:val="32"/>
        </w:rPr>
        <w:fldChar w:fldCharType="begin"/>
      </w:r>
      <w:r>
        <w:rPr>
          <w:szCs w:val="32"/>
        </w:rPr>
        <w:instrText xml:space="preserve"> HYPERLINK \l _Toc7576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_Toc7576 \h </w:instrText>
      </w:r>
      <w:r>
        <w:fldChar w:fldCharType="separate"/>
      </w:r>
      <w:r>
        <w:t>3</w:t>
      </w:r>
      <w:r>
        <w:fldChar w:fldCharType="end"/>
      </w:r>
      <w:r>
        <w:rPr>
          <w:szCs w:val="32"/>
        </w:rPr>
        <w:fldChar w:fldCharType="end"/>
      </w:r>
    </w:p>
    <w:p w14:paraId="31B3C478">
      <w:pPr>
        <w:pStyle w:val="19"/>
        <w:tabs>
          <w:tab w:val="right" w:leader="dot" w:pos="8312"/>
          <w:tab w:val="clear" w:pos="180"/>
          <w:tab w:val="clear" w:pos="420"/>
          <w:tab w:val="clear" w:pos="8222"/>
        </w:tabs>
      </w:pPr>
      <w:r>
        <w:rPr>
          <w:szCs w:val="32"/>
        </w:rPr>
        <w:fldChar w:fldCharType="begin"/>
      </w:r>
      <w:r>
        <w:rPr>
          <w:szCs w:val="32"/>
        </w:rPr>
        <w:instrText xml:space="preserve"> HYPERLINK \l _Toc8740 </w:instrText>
      </w:r>
      <w:r>
        <w:rPr>
          <w:szCs w:val="32"/>
        </w:rPr>
        <w:fldChar w:fldCharType="separate"/>
      </w:r>
      <w:r>
        <w:rPr>
          <w:rFonts w:hint="eastAsia"/>
        </w:rPr>
        <w:t>2 计算</w:t>
      </w:r>
      <w:r>
        <w:t>依据</w:t>
      </w:r>
      <w:r>
        <w:tab/>
      </w:r>
      <w:r>
        <w:fldChar w:fldCharType="begin"/>
      </w:r>
      <w:r>
        <w:instrText xml:space="preserve"> PAGEREF _Toc8740 \h </w:instrText>
      </w:r>
      <w:r>
        <w:fldChar w:fldCharType="separate"/>
      </w:r>
      <w:r>
        <w:t>3</w:t>
      </w:r>
      <w:r>
        <w:fldChar w:fldCharType="end"/>
      </w:r>
      <w:r>
        <w:rPr>
          <w:szCs w:val="32"/>
        </w:rPr>
        <w:fldChar w:fldCharType="end"/>
      </w:r>
    </w:p>
    <w:p w14:paraId="728DB951">
      <w:pPr>
        <w:pStyle w:val="19"/>
        <w:tabs>
          <w:tab w:val="right" w:leader="dot" w:pos="8312"/>
          <w:tab w:val="clear" w:pos="180"/>
          <w:tab w:val="clear" w:pos="420"/>
          <w:tab w:val="clear" w:pos="8222"/>
        </w:tabs>
      </w:pPr>
      <w:r>
        <w:rPr>
          <w:szCs w:val="32"/>
        </w:rPr>
        <w:fldChar w:fldCharType="begin"/>
      </w:r>
      <w:r>
        <w:rPr>
          <w:szCs w:val="32"/>
        </w:rPr>
        <w:instrText xml:space="preserve"> HYPERLINK \l _Toc18550 </w:instrText>
      </w:r>
      <w:r>
        <w:rPr>
          <w:szCs w:val="32"/>
        </w:rPr>
        <w:fldChar w:fldCharType="separate"/>
      </w:r>
      <w:r>
        <w:rPr>
          <w:rFonts w:hint="eastAsia"/>
        </w:rPr>
        <w:t>3 参考</w:t>
      </w:r>
      <w:r>
        <w:t>标准</w:t>
      </w:r>
      <w:r>
        <w:tab/>
      </w:r>
      <w:r>
        <w:fldChar w:fldCharType="begin"/>
      </w:r>
      <w:r>
        <w:instrText xml:space="preserve"> PAGEREF _Toc18550 \h </w:instrText>
      </w:r>
      <w:r>
        <w:fldChar w:fldCharType="separate"/>
      </w:r>
      <w:r>
        <w:t>3</w:t>
      </w:r>
      <w:r>
        <w:fldChar w:fldCharType="end"/>
      </w:r>
      <w:r>
        <w:rPr>
          <w:szCs w:val="32"/>
        </w:rPr>
        <w:fldChar w:fldCharType="end"/>
      </w:r>
    </w:p>
    <w:p w14:paraId="1967E5F5">
      <w:pPr>
        <w:pStyle w:val="19"/>
        <w:tabs>
          <w:tab w:val="right" w:leader="dot" w:pos="8312"/>
          <w:tab w:val="clear" w:pos="180"/>
          <w:tab w:val="clear" w:pos="420"/>
          <w:tab w:val="clear" w:pos="8222"/>
        </w:tabs>
      </w:pPr>
      <w:r>
        <w:rPr>
          <w:szCs w:val="32"/>
        </w:rPr>
        <w:fldChar w:fldCharType="begin"/>
      </w:r>
      <w:r>
        <w:rPr>
          <w:szCs w:val="32"/>
        </w:rPr>
        <w:instrText xml:space="preserve"> HYPERLINK \l _Toc8527 </w:instrText>
      </w:r>
      <w:r>
        <w:rPr>
          <w:szCs w:val="32"/>
        </w:rPr>
        <w:fldChar w:fldCharType="separate"/>
      </w:r>
      <w:r>
        <w:rPr>
          <w:rFonts w:hint="eastAsia"/>
        </w:rPr>
        <w:t>4 计算方法</w:t>
      </w:r>
      <w:r>
        <w:tab/>
      </w:r>
      <w:r>
        <w:fldChar w:fldCharType="begin"/>
      </w:r>
      <w:r>
        <w:instrText xml:space="preserve"> PAGEREF _Toc8527 \h </w:instrText>
      </w:r>
      <w:r>
        <w:fldChar w:fldCharType="separate"/>
      </w:r>
      <w:r>
        <w:t>3</w:t>
      </w:r>
      <w:r>
        <w:fldChar w:fldCharType="end"/>
      </w:r>
      <w:r>
        <w:rPr>
          <w:szCs w:val="32"/>
        </w:rPr>
        <w:fldChar w:fldCharType="end"/>
      </w:r>
    </w:p>
    <w:p w14:paraId="196F56F8">
      <w:pPr>
        <w:pStyle w:val="20"/>
        <w:tabs>
          <w:tab w:val="right" w:leader="dot" w:pos="8312"/>
          <w:tab w:val="clear" w:pos="540"/>
          <w:tab w:val="clear" w:pos="840"/>
          <w:tab w:val="clear" w:pos="8222"/>
        </w:tabs>
      </w:pPr>
      <w:r>
        <w:rPr>
          <w:szCs w:val="32"/>
        </w:rPr>
        <w:fldChar w:fldCharType="begin"/>
      </w:r>
      <w:r>
        <w:rPr>
          <w:szCs w:val="32"/>
        </w:rPr>
        <w:instrText xml:space="preserve"> HYPERLINK \l _Toc15434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_Toc15434 \h </w:instrText>
      </w:r>
      <w:r>
        <w:fldChar w:fldCharType="separate"/>
      </w:r>
      <w:r>
        <w:t>4</w:t>
      </w:r>
      <w:r>
        <w:fldChar w:fldCharType="end"/>
      </w:r>
      <w:r>
        <w:rPr>
          <w:szCs w:val="32"/>
        </w:rPr>
        <w:fldChar w:fldCharType="end"/>
      </w:r>
    </w:p>
    <w:p w14:paraId="196F3316">
      <w:pPr>
        <w:pStyle w:val="19"/>
        <w:tabs>
          <w:tab w:val="right" w:leader="dot" w:pos="8312"/>
          <w:tab w:val="clear" w:pos="180"/>
          <w:tab w:val="clear" w:pos="420"/>
          <w:tab w:val="clear" w:pos="8222"/>
        </w:tabs>
      </w:pPr>
      <w:r>
        <w:rPr>
          <w:szCs w:val="32"/>
        </w:rPr>
        <w:fldChar w:fldCharType="begin"/>
      </w:r>
      <w:r>
        <w:rPr>
          <w:szCs w:val="32"/>
        </w:rPr>
        <w:instrText xml:space="preserve"> HYPERLINK \l _Toc8180 </w:instrText>
      </w:r>
      <w:r>
        <w:rPr>
          <w:szCs w:val="32"/>
        </w:rPr>
        <w:fldChar w:fldCharType="separate"/>
      </w:r>
      <w:r>
        <w:rPr>
          <w:rFonts w:hint="eastAsia"/>
        </w:rPr>
        <w:t>5 计算参数</w:t>
      </w:r>
      <w:r>
        <w:tab/>
      </w:r>
      <w:r>
        <w:fldChar w:fldCharType="begin"/>
      </w:r>
      <w:r>
        <w:instrText xml:space="preserve"> PAGEREF _Toc8180 \h </w:instrText>
      </w:r>
      <w:r>
        <w:fldChar w:fldCharType="separate"/>
      </w:r>
      <w:r>
        <w:t>5</w:t>
      </w:r>
      <w:r>
        <w:fldChar w:fldCharType="end"/>
      </w:r>
      <w:r>
        <w:rPr>
          <w:szCs w:val="32"/>
        </w:rPr>
        <w:fldChar w:fldCharType="end"/>
      </w:r>
    </w:p>
    <w:p w14:paraId="734928E1">
      <w:pPr>
        <w:pStyle w:val="19"/>
        <w:tabs>
          <w:tab w:val="right" w:leader="dot" w:pos="8312"/>
          <w:tab w:val="clear" w:pos="180"/>
          <w:tab w:val="clear" w:pos="420"/>
          <w:tab w:val="clear" w:pos="8222"/>
        </w:tabs>
      </w:pPr>
      <w:r>
        <w:rPr>
          <w:szCs w:val="32"/>
        </w:rPr>
        <w:fldChar w:fldCharType="begin"/>
      </w:r>
      <w:r>
        <w:rPr>
          <w:szCs w:val="32"/>
        </w:rPr>
        <w:instrText xml:space="preserve"> HYPERLINK \l _Toc10136 </w:instrText>
      </w:r>
      <w:r>
        <w:rPr>
          <w:szCs w:val="32"/>
        </w:rPr>
        <w:fldChar w:fldCharType="separate"/>
      </w:r>
      <w:r>
        <w:rPr>
          <w:rFonts w:hint="eastAsia"/>
        </w:rPr>
        <w:t>6 计算结果</w:t>
      </w:r>
      <w:r>
        <w:tab/>
      </w:r>
      <w:r>
        <w:fldChar w:fldCharType="begin"/>
      </w:r>
      <w:r>
        <w:instrText xml:space="preserve"> PAGEREF _Toc10136 \h </w:instrText>
      </w:r>
      <w:r>
        <w:fldChar w:fldCharType="separate"/>
      </w:r>
      <w:r>
        <w:t>6</w:t>
      </w:r>
      <w:r>
        <w:fldChar w:fldCharType="end"/>
      </w:r>
      <w:r>
        <w:rPr>
          <w:szCs w:val="32"/>
        </w:rPr>
        <w:fldChar w:fldCharType="end"/>
      </w:r>
    </w:p>
    <w:p w14:paraId="4FA4ADA5">
      <w:pPr>
        <w:pStyle w:val="20"/>
        <w:tabs>
          <w:tab w:val="right" w:leader="dot" w:pos="8312"/>
          <w:tab w:val="clear" w:pos="540"/>
          <w:tab w:val="clear" w:pos="840"/>
          <w:tab w:val="clear" w:pos="8222"/>
        </w:tabs>
      </w:pPr>
      <w:r>
        <w:rPr>
          <w:szCs w:val="32"/>
        </w:rPr>
        <w:fldChar w:fldCharType="begin"/>
      </w:r>
      <w:r>
        <w:rPr>
          <w:szCs w:val="32"/>
        </w:rPr>
        <w:instrText xml:space="preserve"> HYPERLINK \l _Toc18288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_Toc18288 \h </w:instrText>
      </w:r>
      <w:r>
        <w:fldChar w:fldCharType="separate"/>
      </w:r>
      <w:r>
        <w:t>6</w:t>
      </w:r>
      <w:r>
        <w:fldChar w:fldCharType="end"/>
      </w:r>
      <w:r>
        <w:rPr>
          <w:szCs w:val="32"/>
        </w:rPr>
        <w:fldChar w:fldCharType="end"/>
      </w:r>
    </w:p>
    <w:p w14:paraId="4562E5BB">
      <w:pPr>
        <w:pStyle w:val="20"/>
        <w:tabs>
          <w:tab w:val="right" w:leader="dot" w:pos="8312"/>
          <w:tab w:val="clear" w:pos="540"/>
          <w:tab w:val="clear" w:pos="840"/>
          <w:tab w:val="clear" w:pos="8222"/>
        </w:tabs>
      </w:pPr>
      <w:r>
        <w:rPr>
          <w:szCs w:val="32"/>
        </w:rPr>
        <w:fldChar w:fldCharType="begin"/>
      </w:r>
      <w:r>
        <w:rPr>
          <w:szCs w:val="32"/>
        </w:rPr>
        <w:instrText xml:space="preserve"> HYPERLINK \l _Toc6027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_Toc6027 \h </w:instrText>
      </w:r>
      <w:r>
        <w:fldChar w:fldCharType="separate"/>
      </w:r>
      <w:r>
        <w:t>6</w:t>
      </w:r>
      <w:r>
        <w:fldChar w:fldCharType="end"/>
      </w:r>
      <w:r>
        <w:rPr>
          <w:szCs w:val="32"/>
        </w:rPr>
        <w:fldChar w:fldCharType="end"/>
      </w:r>
    </w:p>
    <w:p w14:paraId="7F252336">
      <w:pPr>
        <w:pStyle w:val="19"/>
        <w:tabs>
          <w:tab w:val="right" w:leader="dot" w:pos="8312"/>
          <w:tab w:val="clear" w:pos="180"/>
          <w:tab w:val="clear" w:pos="420"/>
          <w:tab w:val="clear" w:pos="8222"/>
        </w:tabs>
      </w:pPr>
      <w:r>
        <w:rPr>
          <w:szCs w:val="32"/>
        </w:rPr>
        <w:fldChar w:fldCharType="begin"/>
      </w:r>
      <w:r>
        <w:rPr>
          <w:szCs w:val="32"/>
        </w:rPr>
        <w:instrText xml:space="preserve"> HYPERLINK \l _Toc23680 </w:instrText>
      </w:r>
      <w:r>
        <w:rPr>
          <w:szCs w:val="32"/>
        </w:rPr>
        <w:fldChar w:fldCharType="separate"/>
      </w:r>
      <w:r>
        <w:rPr>
          <w:rFonts w:hint="eastAsia"/>
        </w:rPr>
        <w:t>7 结论</w:t>
      </w:r>
      <w:r>
        <w:tab/>
      </w:r>
      <w:r>
        <w:fldChar w:fldCharType="begin"/>
      </w:r>
      <w:r>
        <w:instrText xml:space="preserve"> PAGEREF _Toc23680 \h </w:instrText>
      </w:r>
      <w:r>
        <w:fldChar w:fldCharType="separate"/>
      </w:r>
      <w:r>
        <w:t>6</w:t>
      </w:r>
      <w:r>
        <w:fldChar w:fldCharType="end"/>
      </w:r>
      <w:r>
        <w:rPr>
          <w:szCs w:val="32"/>
        </w:rPr>
        <w:fldChar w:fldCharType="end"/>
      </w:r>
    </w:p>
    <w:p w14:paraId="7DEEB64C">
      <w:pPr>
        <w:pStyle w:val="19"/>
        <w:rPr>
          <w:rFonts w:hint="eastAsia"/>
        </w:rPr>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49D475F9">
      <w:pPr>
        <w:pStyle w:val="2"/>
        <w:spacing w:before="312"/>
        <w:rPr>
          <w:rFonts w:hint="eastAsia"/>
        </w:rPr>
      </w:pPr>
      <w:bookmarkStart w:id="13" w:name="_Toc44662463"/>
      <w:bookmarkStart w:id="14" w:name="_Toc452108759"/>
      <w:bookmarkStart w:id="15" w:name="_Toc44772815"/>
      <w:bookmarkStart w:id="16" w:name="_Toc4964"/>
      <w:r>
        <w:rPr>
          <w:rFonts w:hint="eastAsia"/>
        </w:rPr>
        <w:t>项目概况</w:t>
      </w:r>
      <w:bookmarkEnd w:id="13"/>
      <w:bookmarkEnd w:id="14"/>
      <w:bookmarkEnd w:id="15"/>
      <w:bookmarkEnd w:id="16"/>
    </w:p>
    <w:tbl>
      <w:tblPr>
        <w:tblStyle w:val="22"/>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93"/>
        <w:gridCol w:w="2860"/>
        <w:gridCol w:w="2873"/>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hint="eastAsia" w:ascii="宋体" w:hAnsi="宋体"/>
                <w:lang w:val="en-US"/>
              </w:rPr>
            </w:pPr>
            <w:bookmarkStart w:id="17" w:name="项目概况"/>
            <w:bookmarkEnd w:id="17"/>
            <w:r>
              <w:rPr>
                <w:rFonts w:hint="eastAsia" w:ascii="宋体" w:hAnsi="宋体"/>
                <w:lang w:val="en-US"/>
              </w:rPr>
              <w:t>工程名称</w:t>
            </w:r>
          </w:p>
        </w:tc>
        <w:tc>
          <w:tcPr>
            <w:tcW w:w="6231" w:type="dxa"/>
            <w:gridSpan w:val="2"/>
          </w:tcPr>
          <w:p w14:paraId="5AA01D38">
            <w:pPr>
              <w:pStyle w:val="3"/>
              <w:ind w:firstLine="0" w:firstLineChars="0"/>
              <w:rPr>
                <w:rFonts w:hint="eastAsia" w:ascii="宋体" w:hAnsi="宋体"/>
                <w:lang w:val="en-US"/>
              </w:rPr>
            </w:pPr>
            <w:bookmarkStart w:id="18" w:name="工程名称"/>
            <w:r>
              <w:t>宝丰苑（三期）</w:t>
            </w:r>
            <w:bookmarkEnd w:id="18"/>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hint="eastAsia" w:ascii="宋体" w:hAnsi="宋体"/>
                <w:lang w:val="en-US"/>
              </w:rPr>
            </w:pPr>
            <w:r>
              <w:t>宁夏-银川</w:t>
            </w:r>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hint="eastAsia" w:ascii="宋体" w:hAnsi="宋体"/>
                <w:lang w:val="en-US"/>
              </w:rPr>
            </w:pPr>
            <w:r>
              <w:rPr>
                <w:rFonts w:hint="eastAsia" w:ascii="宋体" w:hAnsi="宋体"/>
                <w:lang w:val="en-US"/>
              </w:rPr>
              <w:t>北纬：</w:t>
            </w:r>
            <w:bookmarkStart w:id="19" w:name="纬度"/>
            <w:r>
              <w:rPr>
                <w:rFonts w:hint="eastAsia" w:ascii="宋体" w:hAnsi="宋体"/>
                <w:lang w:val="en-US"/>
              </w:rPr>
              <w:t>38.00</w:t>
            </w:r>
            <w:bookmarkEnd w:id="19"/>
            <w:r>
              <w:rPr>
                <w:rFonts w:hint="eastAsia" w:ascii="宋体" w:hAnsi="宋体"/>
                <w:lang w:val="en-US"/>
              </w:rPr>
              <w:t>°</w:t>
            </w:r>
          </w:p>
        </w:tc>
        <w:tc>
          <w:tcPr>
            <w:tcW w:w="3116" w:type="dxa"/>
          </w:tcPr>
          <w:p w14:paraId="5FF958CD">
            <w:pPr>
              <w:pStyle w:val="3"/>
              <w:ind w:firstLine="0" w:firstLineChars="0"/>
              <w:rPr>
                <w:rFonts w:hint="eastAsia" w:ascii="宋体" w:hAnsi="宋体"/>
                <w:lang w:val="en-US"/>
              </w:rPr>
            </w:pPr>
            <w:r>
              <w:rPr>
                <w:rFonts w:hint="eastAsia" w:ascii="宋体" w:hAnsi="宋体"/>
                <w:lang w:val="en-US"/>
              </w:rPr>
              <w:t>东经：</w:t>
            </w:r>
            <w:bookmarkStart w:id="20" w:name="经度"/>
            <w:r>
              <w:rPr>
                <w:rFonts w:hint="eastAsia" w:ascii="宋体" w:hAnsi="宋体"/>
                <w:lang w:val="en-US"/>
              </w:rPr>
              <w:t>106.21</w:t>
            </w:r>
            <w:bookmarkEnd w:id="20"/>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hint="eastAsia" w:ascii="宋体" w:hAnsi="宋体"/>
                <w:lang w:val="en-US"/>
              </w:rPr>
            </w:pPr>
            <w:r>
              <w:rPr>
                <w:rFonts w:hint="eastAsia" w:ascii="宋体" w:hAnsi="宋体"/>
                <w:lang w:val="en-US"/>
              </w:rPr>
              <w:t>地上</w:t>
            </w:r>
            <w:bookmarkStart w:id="21" w:name="地上建筑面积"/>
            <w:r>
              <w:rPr>
                <w:rFonts w:hint="eastAsia" w:ascii="宋体" w:hAnsi="宋体"/>
                <w:lang w:val="en-US"/>
              </w:rPr>
              <w:t>5261</w:t>
            </w:r>
            <w:bookmarkEnd w:id="21"/>
            <w:r>
              <w:rPr>
                <w:rFonts w:hint="eastAsia" w:ascii="宋体" w:hAnsi="宋体"/>
                <w:lang w:val="en-US"/>
              </w:rPr>
              <w:t xml:space="preserve">    地下</w:t>
            </w:r>
            <w:bookmarkStart w:id="22" w:name="地下建筑面积"/>
            <w:r>
              <w:rPr>
                <w:rFonts w:hint="eastAsia" w:ascii="宋体" w:hAnsi="宋体"/>
                <w:lang w:val="en-US"/>
              </w:rPr>
              <w:t>0</w:t>
            </w:r>
            <w:bookmarkEnd w:id="22"/>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hint="eastAsia" w:ascii="宋体" w:hAnsi="宋体"/>
                <w:lang w:val="en-US"/>
              </w:rPr>
            </w:pPr>
            <w:r>
              <w:rPr>
                <w:rFonts w:hint="eastAsia" w:ascii="宋体" w:hAnsi="宋体"/>
                <w:lang w:val="en-US"/>
              </w:rPr>
              <w:t>地上</w:t>
            </w:r>
            <w:bookmarkStart w:id="23" w:name="地上建筑层数"/>
            <w:r>
              <w:rPr>
                <w:rFonts w:hint="eastAsia" w:ascii="宋体" w:hAnsi="宋体"/>
                <w:lang w:val="en-US"/>
              </w:rPr>
              <w:t>7</w:t>
            </w:r>
            <w:bookmarkEnd w:id="23"/>
            <w:r>
              <w:rPr>
                <w:rFonts w:hint="eastAsia" w:ascii="宋体" w:hAnsi="宋体"/>
                <w:lang w:val="en-US"/>
              </w:rPr>
              <w:t xml:space="preserve">          地下</w:t>
            </w:r>
            <w:bookmarkStart w:id="24" w:name="地下建筑层数"/>
            <w:r>
              <w:t>0</w:t>
            </w:r>
            <w:bookmarkEnd w:id="24"/>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hint="eastAsia" w:ascii="宋体" w:hAnsi="宋体"/>
                <w:lang w:val="en-US"/>
              </w:rPr>
            </w:pPr>
            <w:r>
              <w:rPr>
                <w:rFonts w:hint="eastAsia" w:ascii="宋体" w:hAnsi="宋体"/>
                <w:lang w:val="en-US"/>
              </w:rPr>
              <w:t>地上</w:t>
            </w:r>
            <w:bookmarkStart w:id="25" w:name="地上建筑高度"/>
            <w:r>
              <w:rPr>
                <w:rFonts w:hint="eastAsia" w:ascii="宋体" w:hAnsi="宋体"/>
                <w:lang w:val="en-US"/>
              </w:rPr>
              <w:t>22.2</w:t>
            </w:r>
            <w:bookmarkEnd w:id="25"/>
            <w:r>
              <w:rPr>
                <w:rFonts w:hint="eastAsia" w:ascii="宋体" w:hAnsi="宋体"/>
                <w:lang w:val="en-US"/>
              </w:rPr>
              <w:t xml:space="preserve">     地下</w:t>
            </w:r>
            <w:bookmarkStart w:id="26" w:name="地下建筑高度"/>
            <w:r>
              <w:rPr>
                <w:rFonts w:hint="eastAsia" w:ascii="宋体" w:hAnsi="宋体"/>
                <w:lang w:val="en-US"/>
              </w:rPr>
              <w:t>0.0</w:t>
            </w:r>
            <w:bookmarkEnd w:id="26"/>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hint="eastAsia"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hint="eastAsia" w:ascii="宋体" w:hAnsi="宋体"/>
                <w:lang w:val="en-US"/>
              </w:rPr>
            </w:pPr>
            <w:bookmarkStart w:id="27" w:name="建筑体积"/>
            <w:r>
              <w:t>14897.38</w:t>
            </w:r>
            <w:bookmarkEnd w:id="27"/>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hint="eastAsia"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hint="eastAsia" w:ascii="宋体" w:hAnsi="宋体"/>
                <w:lang w:val="en-US"/>
              </w:rPr>
            </w:pPr>
            <w:bookmarkStart w:id="28" w:name="外表面积"/>
            <w:r>
              <w:t>4264.58</w:t>
            </w:r>
            <w:bookmarkEnd w:id="28"/>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hint="eastAsia" w:ascii="宋体" w:hAnsi="宋体"/>
                <w:lang w:val="en-US"/>
              </w:rPr>
            </w:pPr>
            <w:bookmarkStart w:id="29" w:name="北向角度"/>
            <w:r>
              <w:t>106.1</w:t>
            </w:r>
            <w:bookmarkEnd w:id="29"/>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hint="eastAsia" w:ascii="宋体" w:hAnsi="宋体"/>
                <w:lang w:val="en-US"/>
              </w:rPr>
            </w:pPr>
            <w:bookmarkStart w:id="30" w:name="结构类型"/>
            <w:bookmarkEnd w:id="30"/>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hint="eastAsia" w:ascii="宋体" w:hAnsi="宋体"/>
                <w:lang w:val="en-US"/>
              </w:rPr>
            </w:pPr>
            <w:r>
              <w:rPr>
                <w:rFonts w:hint="eastAsia"/>
              </w:rPr>
              <w:t>外墙太阳辐射吸收系数</w:t>
            </w:r>
          </w:p>
        </w:tc>
        <w:tc>
          <w:tcPr>
            <w:tcW w:w="6231" w:type="dxa"/>
            <w:gridSpan w:val="2"/>
          </w:tcPr>
          <w:p w14:paraId="7C6B3411">
            <w:pPr>
              <w:pStyle w:val="3"/>
              <w:ind w:firstLine="0" w:firstLineChars="0"/>
              <w:rPr>
                <w:rFonts w:hint="eastAsia" w:ascii="宋体" w:hAnsi="宋体"/>
                <w:lang w:val="en-US"/>
              </w:rPr>
            </w:pPr>
            <w:bookmarkStart w:id="31" w:name="外墙ρ"/>
            <w:r>
              <w:rPr>
                <w:rFonts w:hint="eastAsia"/>
              </w:rPr>
              <w:t>0.70</w:t>
            </w:r>
            <w:bookmarkEnd w:id="31"/>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hint="eastAsia" w:ascii="宋体" w:hAnsi="宋体"/>
                <w:lang w:val="en-US"/>
              </w:rPr>
            </w:pPr>
            <w:r>
              <w:rPr>
                <w:rFonts w:hint="eastAsia"/>
              </w:rPr>
              <w:t>屋顶太阳辐射吸收系数</w:t>
            </w:r>
          </w:p>
        </w:tc>
        <w:tc>
          <w:tcPr>
            <w:tcW w:w="6231" w:type="dxa"/>
            <w:gridSpan w:val="2"/>
          </w:tcPr>
          <w:p w14:paraId="68FB20A8">
            <w:pPr>
              <w:pStyle w:val="3"/>
              <w:ind w:firstLine="0" w:firstLineChars="0"/>
              <w:rPr>
                <w:rFonts w:hint="eastAsia" w:ascii="宋体" w:hAnsi="宋体"/>
                <w:lang w:val="en-US"/>
              </w:rPr>
            </w:pPr>
            <w:bookmarkStart w:id="32" w:name="屋顶ρ"/>
            <w:r>
              <w:rPr>
                <w:rFonts w:hint="eastAsia"/>
              </w:rPr>
              <w:t>0.70</w:t>
            </w:r>
            <w:bookmarkEnd w:id="32"/>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33" w:name="控温期"/>
            <w:r>
              <w:t>供冷期:5.15~9.15,供暖期:11.15~3.15</w:t>
            </w:r>
            <w:bookmarkEnd w:id="33"/>
          </w:p>
        </w:tc>
      </w:tr>
    </w:tbl>
    <w:p w14:paraId="705B2E83">
      <w:pPr>
        <w:pStyle w:val="4"/>
        <w:spacing w:before="156"/>
        <w:rPr>
          <w:rFonts w:hint="eastAsia"/>
        </w:rPr>
      </w:pPr>
      <w:bookmarkStart w:id="34" w:name="_Toc452108761"/>
      <w:bookmarkStart w:id="35" w:name="_Toc44662464"/>
      <w:bookmarkStart w:id="36" w:name="_Toc44772816"/>
      <w:bookmarkStart w:id="37" w:name="_Toc7576"/>
      <w:r>
        <w:rPr>
          <w:rFonts w:hint="eastAsia"/>
        </w:rPr>
        <w:t>三</w:t>
      </w:r>
      <w:r>
        <w:t>维视图</w:t>
      </w:r>
      <w:bookmarkEnd w:id="34"/>
      <w:bookmarkEnd w:id="35"/>
      <w:bookmarkEnd w:id="36"/>
      <w:bookmarkEnd w:id="37"/>
    </w:p>
    <w:p w14:paraId="7B045A70">
      <w:pPr>
        <w:widowControl w:val="0"/>
        <w:jc w:val="center"/>
      </w:pPr>
      <w:bookmarkStart w:id="38" w:name="_Toc44662465"/>
      <w:bookmarkStart w:id="39" w:name="_Toc8740"/>
      <w:bookmarkStart w:id="40" w:name="TitleFormat"/>
      <w:bookmarkStart w:id="41" w:name="_Toc44772817"/>
      <w:bookmarkStart w:id="42" w:name="_Toc452108762"/>
      <w:r>
        <w:drawing>
          <wp:inline distT="0" distB="0" distL="0" distR="0">
            <wp:extent cx="5667375" cy="4057650"/>
            <wp:effectExtent l="0" t="0" r="9525"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0"/>
                    <a:stretch>
                      <a:fillRect/>
                    </a:stretch>
                  </pic:blipFill>
                  <pic:spPr>
                    <a:xfrm>
                      <a:off x="0" y="0"/>
                      <a:ext cx="5667375" cy="4057650"/>
                    </a:xfrm>
                    <a:prstGeom prst="rect">
                      <a:avLst/>
                    </a:prstGeom>
                  </pic:spPr>
                </pic:pic>
              </a:graphicData>
            </a:graphic>
          </wp:inline>
        </w:drawing>
      </w:r>
    </w:p>
    <w:p w14:paraId="3605DAE9">
      <w:pPr>
        <w:widowControl w:val="0"/>
        <w:jc w:val="center"/>
      </w:pPr>
      <w:r>
        <w:t>西南轴侧图</w:t>
      </w:r>
    </w:p>
    <w:p w14:paraId="414C7D41">
      <w:pPr>
        <w:widowControl w:val="0"/>
        <w:jc w:val="center"/>
      </w:pPr>
      <w:r>
        <w:drawing>
          <wp:inline distT="0" distB="0" distL="0" distR="0">
            <wp:extent cx="5667375" cy="4057650"/>
            <wp:effectExtent l="0" t="0" r="9525"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1"/>
                    <a:stretch>
                      <a:fillRect/>
                    </a:stretch>
                  </pic:blipFill>
                  <pic:spPr>
                    <a:xfrm>
                      <a:off x="0" y="0"/>
                      <a:ext cx="5667375" cy="4057650"/>
                    </a:xfrm>
                    <a:prstGeom prst="rect">
                      <a:avLst/>
                    </a:prstGeom>
                  </pic:spPr>
                </pic:pic>
              </a:graphicData>
            </a:graphic>
          </wp:inline>
        </w:drawing>
      </w:r>
    </w:p>
    <w:p w14:paraId="395F5A94">
      <w:pPr>
        <w:widowControl w:val="0"/>
        <w:jc w:val="center"/>
      </w:pPr>
      <w:r>
        <w:t>东北轴侧图</w:t>
      </w:r>
    </w:p>
    <w:p w14:paraId="2CF93F8B">
      <w:pPr>
        <w:widowControl w:val="0"/>
        <w:jc w:val="center"/>
      </w:pPr>
      <w:r>
        <w:drawing>
          <wp:inline distT="0" distB="0" distL="0" distR="0">
            <wp:extent cx="5667375" cy="4057650"/>
            <wp:effectExtent l="0" t="0" r="9525"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2"/>
                    <a:stretch>
                      <a:fillRect/>
                    </a:stretch>
                  </pic:blipFill>
                  <pic:spPr>
                    <a:xfrm>
                      <a:off x="0" y="0"/>
                      <a:ext cx="5667375" cy="4057650"/>
                    </a:xfrm>
                    <a:prstGeom prst="rect">
                      <a:avLst/>
                    </a:prstGeom>
                  </pic:spPr>
                </pic:pic>
              </a:graphicData>
            </a:graphic>
          </wp:inline>
        </w:drawing>
      </w:r>
    </w:p>
    <w:p w14:paraId="08546A0D">
      <w:pPr>
        <w:widowControl w:val="0"/>
        <w:jc w:val="center"/>
      </w:pPr>
      <w:r>
        <w:t>前视图</w:t>
      </w:r>
    </w:p>
    <w:p w14:paraId="38EF2469">
      <w:pPr>
        <w:widowControl w:val="0"/>
        <w:jc w:val="center"/>
      </w:pPr>
      <w:r>
        <w:drawing>
          <wp:inline distT="0" distB="0" distL="0" distR="0">
            <wp:extent cx="5667375" cy="4057650"/>
            <wp:effectExtent l="0" t="0" r="9525"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3"/>
                    <a:stretch>
                      <a:fillRect/>
                    </a:stretch>
                  </pic:blipFill>
                  <pic:spPr>
                    <a:xfrm>
                      <a:off x="0" y="0"/>
                      <a:ext cx="5667375" cy="4057650"/>
                    </a:xfrm>
                    <a:prstGeom prst="rect">
                      <a:avLst/>
                    </a:prstGeom>
                  </pic:spPr>
                </pic:pic>
              </a:graphicData>
            </a:graphic>
          </wp:inline>
        </w:drawing>
      </w:r>
    </w:p>
    <w:p w14:paraId="02AE56D2">
      <w:pPr>
        <w:widowControl w:val="0"/>
        <w:jc w:val="center"/>
      </w:pPr>
      <w:r>
        <w:t>后视图</w:t>
      </w:r>
    </w:p>
    <w:p w14:paraId="0DBA1FE1">
      <w:pPr>
        <w:pStyle w:val="2"/>
        <w:spacing w:before="312"/>
        <w:rPr>
          <w:rFonts w:hint="eastAsia"/>
        </w:rPr>
      </w:pPr>
      <w:bookmarkStart w:id="116" w:name="_GoBack"/>
      <w:bookmarkEnd w:id="116"/>
      <w:r>
        <w:rPr>
          <w:rFonts w:hint="eastAsia"/>
        </w:rPr>
        <w:t>计算</w:t>
      </w:r>
      <w:r>
        <w:t>依据</w:t>
      </w:r>
      <w:bookmarkEnd w:id="38"/>
      <w:bookmarkEnd w:id="39"/>
      <w:bookmarkEnd w:id="40"/>
      <w:bookmarkEnd w:id="41"/>
      <w:bookmarkEnd w:id="42"/>
    </w:p>
    <w:p w14:paraId="3865BD6D">
      <w:pPr>
        <w:pStyle w:val="3"/>
        <w:spacing w:line="400" w:lineRule="exact"/>
        <w:ind w:firstLine="199" w:firstLineChars="95"/>
        <w:rPr>
          <w:rFonts w:hint="eastAsia" w:ascii="微软雅黑" w:hAnsi="微软雅黑" w:eastAsia="微软雅黑"/>
          <w:lang w:val="en-US"/>
        </w:rPr>
      </w:pPr>
      <w:bookmarkStart w:id="43" w:name="_Toc452108763"/>
      <w:r>
        <w:rPr>
          <w:rFonts w:hint="eastAsia" w:ascii="微软雅黑" w:hAnsi="微软雅黑" w:eastAsia="微软雅黑"/>
          <w:lang w:val="en-US"/>
        </w:rPr>
        <w:t>本项目主要参照资料为：</w:t>
      </w:r>
    </w:p>
    <w:p w14:paraId="3220CB66">
      <w:pPr>
        <w:pStyle w:val="3"/>
        <w:numPr>
          <w:ilvl w:val="0"/>
          <w:numId w:val="2"/>
        </w:numPr>
        <w:spacing w:line="400" w:lineRule="exact"/>
        <w:ind w:left="0" w:firstLine="200" w:firstLineChars="0"/>
        <w:rPr>
          <w:rFonts w:hint="eastAsia" w:ascii="微软雅黑" w:hAnsi="微软雅黑" w:eastAsia="微软雅黑"/>
          <w:lang w:val="en-US"/>
        </w:rPr>
      </w:pPr>
      <w:bookmarkStart w:id="44" w:name="参考标准名称1"/>
      <w:r>
        <w:rPr>
          <w:rFonts w:hint="eastAsia" w:ascii="微软雅黑" w:hAnsi="微软雅黑" w:eastAsia="微软雅黑"/>
          <w:lang w:val="en-US"/>
        </w:rPr>
        <w:t>《绿色建筑评价标准》GB/T 50378-2019（2024年版）</w:t>
      </w:r>
      <w:bookmarkEnd w:id="44"/>
    </w:p>
    <w:p w14:paraId="2F27E8DD">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《绿色建筑评价技术细则》</w:t>
      </w:r>
    </w:p>
    <w:p w14:paraId="291D33D6">
      <w:pPr>
        <w:pStyle w:val="3"/>
        <w:numPr>
          <w:ilvl w:val="0"/>
          <w:numId w:val="2"/>
        </w:numPr>
        <w:spacing w:line="400" w:lineRule="exact"/>
        <w:ind w:left="0" w:firstLine="200" w:firstLineChars="0"/>
        <w:rPr>
          <w:rFonts w:hint="eastAsia" w:ascii="微软雅黑" w:hAnsi="微软雅黑" w:eastAsia="微软雅黑"/>
          <w:lang w:val="en-US"/>
        </w:rPr>
      </w:pPr>
      <w:bookmarkStart w:id="45"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605A7281">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45"/>
    <w:p w14:paraId="08E7AFEF">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3B551AF9">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46" w:name="_Hlk13516321"/>
    </w:p>
    <w:bookmarkEnd w:id="46"/>
    <w:p w14:paraId="4AF8904F">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CC4F5F9">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 xml:space="preserve"> 委托方提供的其他相关资料</w:t>
      </w:r>
    </w:p>
    <w:p w14:paraId="6B1D320A">
      <w:pPr>
        <w:pStyle w:val="2"/>
        <w:spacing w:before="312"/>
        <w:rPr>
          <w:rFonts w:hint="eastAsia"/>
        </w:rPr>
      </w:pPr>
      <w:bookmarkStart w:id="47" w:name="_Toc44772818"/>
      <w:bookmarkStart w:id="48" w:name="_Toc44662466"/>
      <w:bookmarkStart w:id="49" w:name="_Toc18550"/>
      <w:r>
        <w:rPr>
          <w:rFonts w:hint="eastAsia"/>
        </w:rPr>
        <w:t>参考</w:t>
      </w:r>
      <w:r>
        <w:t>标准</w:t>
      </w:r>
      <w:bookmarkEnd w:id="43"/>
      <w:bookmarkEnd w:id="47"/>
      <w:bookmarkEnd w:id="48"/>
      <w:bookmarkEnd w:id="49"/>
    </w:p>
    <w:p w14:paraId="5A1588A4">
      <w:pPr>
        <w:pStyle w:val="3"/>
        <w:spacing w:line="400" w:lineRule="exact"/>
        <w:ind w:firstLine="420"/>
        <w:rPr>
          <w:rFonts w:hint="eastAsia" w:ascii="微软雅黑" w:hAnsi="微软雅黑" w:eastAsia="微软雅黑"/>
          <w:lang w:val="en-US"/>
        </w:rPr>
      </w:pPr>
      <w:bookmarkStart w:id="50" w:name="_Toc452108764"/>
      <w:bookmarkStart w:id="51" w:name="_Toc451698935"/>
      <w:bookmarkStart w:id="52" w:name="_Toc44772819"/>
      <w:bookmarkStart w:id="53" w:name="_Toc44662467"/>
      <w:r>
        <w:rPr>
          <w:rFonts w:hint="eastAsia" w:ascii="微软雅黑" w:hAnsi="微软雅黑" w:eastAsia="微软雅黑"/>
          <w:lang w:val="en-US"/>
        </w:rPr>
        <w:t>室内热湿环境评价的主要依据为</w:t>
      </w:r>
      <w:bookmarkStart w:id="54" w:name="参考标准名称2"/>
      <w:r>
        <w:rPr>
          <w:rFonts w:hint="eastAsia" w:ascii="微软雅黑" w:hAnsi="微软雅黑" w:eastAsia="微软雅黑"/>
          <w:lang w:val="en-US"/>
        </w:rPr>
        <w:t>《绿色建筑评价标准》GB/T 50378-2019（2024年版）</w:t>
      </w:r>
      <w:bookmarkEnd w:id="54"/>
      <w:r>
        <w:rPr>
          <w:rFonts w:hint="eastAsia" w:ascii="微软雅黑" w:hAnsi="微软雅黑" w:eastAsia="微软雅黑"/>
          <w:lang w:val="en-US"/>
        </w:rPr>
        <w:t>中5.2.9条第2款的要求，具体评分规则如下：</w:t>
      </w:r>
    </w:p>
    <w:p w14:paraId="0727E1B6">
      <w:pPr>
        <w:pStyle w:val="3"/>
        <w:spacing w:line="400" w:lineRule="exact"/>
        <w:ind w:firstLine="420"/>
        <w:rPr>
          <w:rFonts w:hint="eastAsia" w:ascii="微软雅黑" w:hAnsi="微软雅黑" w:eastAsia="微软雅黑"/>
          <w:lang w:val="en-US"/>
        </w:rPr>
      </w:pPr>
      <w:r>
        <w:rPr>
          <w:rFonts w:ascii="微软雅黑" w:hAnsi="微软雅黑" w:eastAsia="微软雅黑"/>
          <w:lang w:val="en-US"/>
        </w:rPr>
        <w:t xml:space="preserve">2 </w:t>
      </w:r>
      <w:r>
        <w:rPr>
          <w:rFonts w:hint="eastAsia" w:ascii="微软雅黑" w:hAnsi="微软雅黑" w:eastAsia="微软雅黑"/>
          <w:u w:val="single"/>
          <w:lang w:val="en-US"/>
        </w:rPr>
        <w:t>建筑主要功能房间供暖、空调工况下室内热环境参数</w:t>
      </w:r>
      <w:r>
        <w:rPr>
          <w:rFonts w:hint="eastAsia" w:ascii="微软雅黑" w:hAnsi="微软雅黑" w:eastAsia="微软雅黑"/>
          <w:lang w:val="en-US"/>
        </w:rPr>
        <w:t>达到现行国家标准《民用建筑室内热湿环境评价标准》GB/T50785规定的室内人工冷热源热湿环境整体评价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级的面积比例，达到60%, 得5分；每再增加10%, 再得1 分，最高得8分。</w:t>
      </w:r>
    </w:p>
    <w:p w14:paraId="200AA656">
      <w:pPr>
        <w:pStyle w:val="2"/>
        <w:spacing w:before="312"/>
        <w:rPr>
          <w:rFonts w:hint="eastAsia"/>
        </w:rPr>
      </w:pPr>
      <w:bookmarkStart w:id="55" w:name="_Toc8527"/>
      <w:r>
        <w:rPr>
          <w:rFonts w:hint="eastAsia"/>
        </w:rPr>
        <w:t>计算</w:t>
      </w:r>
      <w:bookmarkEnd w:id="50"/>
      <w:bookmarkEnd w:id="51"/>
      <w:r>
        <w:rPr>
          <w:rFonts w:hint="eastAsia"/>
        </w:rPr>
        <w:t>方法</w:t>
      </w:r>
      <w:bookmarkEnd w:id="52"/>
      <w:bookmarkEnd w:id="53"/>
      <w:bookmarkEnd w:id="55"/>
    </w:p>
    <w:p w14:paraId="539BF2F4">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20C45FF2">
      <w:pPr>
        <w:pStyle w:val="4"/>
        <w:spacing w:before="156"/>
        <w:rPr>
          <w:rFonts w:hint="eastAsia"/>
        </w:rPr>
      </w:pPr>
      <w:bookmarkStart w:id="56" w:name="_Toc44662472"/>
      <w:bookmarkStart w:id="57" w:name="_Toc44772820"/>
      <w:bookmarkStart w:id="58" w:name="_Toc15434"/>
      <w:r>
        <w:rPr>
          <w:rFonts w:hint="eastAsia"/>
        </w:rPr>
        <w:t>热湿环境评价</w:t>
      </w:r>
      <w:r>
        <w:t>指标</w:t>
      </w:r>
      <w:r>
        <w:rPr>
          <w:rFonts w:hint="eastAsia"/>
        </w:rPr>
        <w:t>计算</w:t>
      </w:r>
      <w:bookmarkEnd w:id="56"/>
      <w:bookmarkEnd w:id="57"/>
      <w:bookmarkEnd w:id="58"/>
    </w:p>
    <w:p w14:paraId="28A19092">
      <w:pPr>
        <w:pStyle w:val="3"/>
        <w:spacing w:line="400" w:lineRule="exact"/>
        <w:ind w:firstLine="420"/>
        <w:rPr>
          <w:rFonts w:hint="eastAsia"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5933F9B8">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59" w:name="_Hlk13601794"/>
      <w:r>
        <w:rPr>
          <w:rFonts w:hint="eastAsia" w:ascii="微软雅黑" w:hAnsi="微软雅黑" w:eastAsia="微软雅黑"/>
          <w:lang w:val="en-US"/>
        </w:rPr>
        <w:t>本项目采用《民用建筑室内热湿环境评价标准》GB/T 50785-2012中所示的计算程序完成上述PMV的计算。</w:t>
      </w:r>
    </w:p>
    <w:p w14:paraId="39FFE907">
      <w:pPr>
        <w:pStyle w:val="5"/>
        <w:spacing w:before="156"/>
        <w:rPr>
          <w:rFonts w:hint="eastAsia"/>
        </w:rPr>
      </w:pPr>
      <w:bookmarkStart w:id="60" w:name="_Toc44662473"/>
      <w:bookmarkStart w:id="61" w:name="_Toc44772821"/>
      <w:r>
        <w:t>PMV</w:t>
      </w:r>
      <w:r>
        <w:rPr>
          <w:rFonts w:hint="eastAsia"/>
        </w:rPr>
        <w:t>计算公式</w:t>
      </w:r>
      <w:bookmarkEnd w:id="60"/>
      <w:bookmarkEnd w:id="61"/>
    </w:p>
    <w:bookmarkEnd w:id="59"/>
    <w:p w14:paraId="299B7B93">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4">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4CE07B90">
      <w:pPr>
        <w:pStyle w:val="3"/>
        <w:spacing w:line="400" w:lineRule="exact"/>
        <w:ind w:firstLine="420"/>
        <w:rPr>
          <w:rFonts w:hint="eastAsia" w:ascii="微软雅黑" w:hAnsi="微软雅黑" w:eastAsia="微软雅黑"/>
          <w:lang w:val="en-US"/>
        </w:rPr>
      </w:pPr>
      <w:bookmarkStart w:id="62" w:name="_Toc44662474"/>
      <w:bookmarkStart w:id="63" w:name="_Toc44772822"/>
      <w:r>
        <w:rPr>
          <w:rFonts w:hint="eastAsia" w:ascii="微软雅黑" w:hAnsi="微软雅黑" w:eastAsia="微软雅黑"/>
          <w:lang w:val="en-US"/>
        </w:rPr>
        <w:t>式中：</w:t>
      </w:r>
    </w:p>
    <w:p w14:paraId="5AF10FE3">
      <w:pPr>
        <w:pStyle w:val="3"/>
        <w:spacing w:line="400" w:lineRule="exact"/>
        <w:ind w:firstLine="420" w:firstLineChars="0"/>
        <w:rPr>
          <w:rFonts w:hint="eastAsia"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6CFB69BA">
      <w:pPr>
        <w:pStyle w:val="3"/>
        <w:spacing w:line="400" w:lineRule="exact"/>
        <w:ind w:firstLine="420" w:firstLineChars="0"/>
        <w:rPr>
          <w:rFonts w:hint="eastAsia"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041404DA">
      <w:pPr>
        <w:pStyle w:val="3"/>
        <w:spacing w:line="400" w:lineRule="exact"/>
        <w:ind w:firstLine="420" w:firstLineChars="0"/>
        <w:rPr>
          <w:rFonts w:hint="eastAsia"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0F0AD17A">
      <w:pPr>
        <w:pStyle w:val="3"/>
        <w:spacing w:line="400" w:lineRule="exact"/>
        <w:ind w:firstLine="420" w:firstLineChars="0"/>
        <w:rPr>
          <w:rFonts w:hint="eastAsia"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2D12E43A">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48CA53AB">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14F8B5B8">
      <w:pPr>
        <w:pStyle w:val="3"/>
        <w:spacing w:line="400" w:lineRule="exact"/>
        <w:ind w:firstLine="420" w:firstLineChars="0"/>
        <w:rPr>
          <w:rFonts w:hint="eastAsia"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24600B38">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139B1FBD">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411D5892">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1DDBBABF">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119805D6">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10248B0F">
      <w:pPr>
        <w:pStyle w:val="5"/>
        <w:spacing w:before="156"/>
        <w:rPr>
          <w:rFonts w:hint="eastAsia"/>
        </w:rPr>
      </w:pPr>
      <w:r>
        <w:t>PPD</w:t>
      </w:r>
      <w:r>
        <w:rPr>
          <w:rFonts w:hint="eastAsia"/>
        </w:rPr>
        <w:t>计算公式</w:t>
      </w:r>
      <w:bookmarkEnd w:id="62"/>
      <w:bookmarkEnd w:id="63"/>
    </w:p>
    <w:p w14:paraId="64F76749">
      <w:pPr>
        <w:pStyle w:val="3"/>
        <w:spacing w:line="400" w:lineRule="exact"/>
        <w:ind w:left="122" w:leftChars="58" w:firstLine="298" w:firstLineChars="0"/>
        <w:rPr>
          <w:rFonts w:hint="eastAsia"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02423523">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40FD3C7B">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式中：PMV为平均热感觉指数；</w:t>
      </w:r>
    </w:p>
    <w:p w14:paraId="4E062070">
      <w:pPr>
        <w:pStyle w:val="3"/>
        <w:spacing w:line="400" w:lineRule="exact"/>
        <w:ind w:firstLine="630" w:firstLineChars="300"/>
        <w:rPr>
          <w:rFonts w:hint="eastAsia" w:ascii="微软雅黑" w:hAnsi="微软雅黑" w:eastAsia="微软雅黑"/>
          <w:lang w:val="en-US"/>
        </w:rPr>
      </w:pPr>
      <w:r>
        <w:rPr>
          <w:rFonts w:hint="eastAsia" w:ascii="微软雅黑" w:hAnsi="微软雅黑" w:eastAsia="微软雅黑"/>
          <w:lang w:val="en-US"/>
        </w:rPr>
        <w:t xml:space="preserve">  PPD为预计不满意率，%；</w:t>
      </w:r>
    </w:p>
    <w:p w14:paraId="5C174CCA">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7">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04E9D500">
      <w:pPr>
        <w:pStyle w:val="3"/>
        <w:spacing w:line="400" w:lineRule="exact"/>
        <w:ind w:firstLine="1050" w:firstLineChars="500"/>
        <w:rPr>
          <w:rFonts w:hint="eastAsia"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199D1EE5">
      <w:pPr>
        <w:pStyle w:val="5"/>
        <w:spacing w:before="156"/>
        <w:rPr>
          <w:rFonts w:hint="eastAsia"/>
        </w:rPr>
      </w:pPr>
      <w:bookmarkStart w:id="64" w:name="_Toc44772823"/>
      <w:bookmarkStart w:id="65" w:name="_Toc44662475"/>
      <w:r>
        <w:rPr>
          <w:rFonts w:hint="eastAsia"/>
        </w:rPr>
        <w:t>PMV和PPD达标比例计算</w:t>
      </w:r>
      <w:bookmarkEnd w:id="64"/>
      <w:bookmarkEnd w:id="65"/>
    </w:p>
    <w:p w14:paraId="3BB6EC04">
      <w:pPr>
        <w:spacing w:line="400" w:lineRule="exact"/>
        <w:ind w:firstLine="420"/>
        <w:rPr>
          <w:rFonts w:hint="eastAsia"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73893176">
      <w:pPr>
        <w:pStyle w:val="2"/>
        <w:spacing w:before="312"/>
        <w:rPr>
          <w:rFonts w:hint="eastAsia"/>
        </w:rPr>
      </w:pPr>
      <w:bookmarkStart w:id="66" w:name="_Toc44772824"/>
      <w:bookmarkStart w:id="67" w:name="_Toc8180"/>
      <w:r>
        <w:rPr>
          <w:rFonts w:hint="eastAsia"/>
        </w:rPr>
        <w:t>计算参数</w:t>
      </w:r>
      <w:bookmarkEnd w:id="66"/>
      <w:bookmarkEnd w:id="67"/>
    </w:p>
    <w:p w14:paraId="713B7E2A">
      <w:pPr>
        <w:pStyle w:val="3"/>
        <w:tabs>
          <w:tab w:val="left" w:pos="8931"/>
        </w:tabs>
        <w:spacing w:line="400" w:lineRule="exact"/>
        <w:ind w:firstLine="420"/>
        <w:rPr>
          <w:rFonts w:hint="eastAsia" w:ascii="微软雅黑" w:hAnsi="微软雅黑" w:eastAsia="微软雅黑"/>
          <w:lang w:val="en-US"/>
        </w:rPr>
      </w:pPr>
      <w:r>
        <w:rPr>
          <w:rFonts w:hint="eastAsia" w:ascii="微软雅黑" w:hAnsi="微软雅黑" w:eastAsia="微软雅黑"/>
          <w:lang w:val="en-US"/>
        </w:rPr>
        <w:t>本项目供冷工况采用</w:t>
      </w:r>
      <w:bookmarkStart w:id="68" w:name="暖通空调形式"/>
      <w:bookmarkStart w:id="69" w:name="夏季暖通空调形式"/>
      <w:r>
        <w:rPr>
          <w:rFonts w:hint="eastAsia" w:ascii="微软雅黑" w:hAnsi="微软雅黑" w:eastAsia="微软雅黑"/>
          <w:lang w:val="en-US"/>
        </w:rPr>
        <w:t>分散式空调</w:t>
      </w:r>
      <w:bookmarkEnd w:id="68"/>
      <w:bookmarkEnd w:id="69"/>
      <w:r>
        <w:rPr>
          <w:rFonts w:hint="eastAsia" w:ascii="微软雅黑" w:hAnsi="微软雅黑" w:eastAsia="微软雅黑"/>
          <w:lang w:val="en-US"/>
        </w:rPr>
        <w:t>方式供冷，供暖工况采用</w:t>
      </w:r>
      <w:bookmarkStart w:id="70" w:name="冬季暖通空调形式"/>
      <w:r>
        <w:rPr>
          <w:rFonts w:hint="eastAsia" w:ascii="微软雅黑" w:hAnsi="微软雅黑" w:eastAsia="微软雅黑"/>
          <w:lang w:val="en-US"/>
        </w:rPr>
        <w:t>地暖/散热器采暖</w:t>
      </w:r>
      <w:bookmarkEnd w:id="70"/>
      <w:r>
        <w:rPr>
          <w:rFonts w:hint="eastAsia" w:ascii="微软雅黑" w:hAnsi="微软雅黑" w:eastAsia="微软雅黑"/>
          <w:lang w:val="en-US"/>
        </w:rPr>
        <w:t>方式供暖。该项目所有参评房间均基于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12640CAB">
      <w:pPr>
        <w:pStyle w:val="3"/>
        <w:tabs>
          <w:tab w:val="left" w:pos="8931"/>
        </w:tabs>
        <w:spacing w:after="156" w:afterLines="50" w:line="400" w:lineRule="exact"/>
        <w:ind w:firstLine="0" w:firstLineChars="0"/>
        <w:jc w:val="center"/>
        <w:rPr>
          <w:rFonts w:hint="eastAsia"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778"/>
        <w:gridCol w:w="895"/>
        <w:gridCol w:w="1035"/>
        <w:gridCol w:w="1421"/>
        <w:gridCol w:w="1183"/>
        <w:gridCol w:w="1184"/>
        <w:gridCol w:w="1169"/>
      </w:tblGrid>
      <w:tr w14:paraId="1F99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shd w:val="clear" w:color="auto" w:fill="E6E6E6"/>
          </w:tcPr>
          <w:p w14:paraId="2346B5E5">
            <w:pPr>
              <w:pStyle w:val="3"/>
              <w:spacing w:line="280" w:lineRule="exact"/>
              <w:ind w:firstLine="0" w:firstLineChars="0"/>
              <w:jc w:val="center"/>
              <w:rPr>
                <w:rFonts w:hint="eastAsia" w:ascii="微软雅黑" w:hAnsi="微软雅黑" w:eastAsia="微软雅黑"/>
                <w:b/>
                <w:sz w:val="18"/>
                <w:szCs w:val="18"/>
              </w:rPr>
            </w:pPr>
            <w:bookmarkStart w:id="71" w:name="_Hlk207976214"/>
            <w:bookmarkStart w:id="72" w:name="计算工况表" w:colFirst="0" w:colLast="8"/>
            <w:r>
              <w:rPr>
                <w:rFonts w:hint="eastAsia" w:ascii="微软雅黑" w:hAnsi="微软雅黑" w:eastAsia="微软雅黑"/>
                <w:b/>
                <w:sz w:val="18"/>
                <w:szCs w:val="18"/>
              </w:rPr>
              <w:t>工况</w:t>
            </w:r>
          </w:p>
        </w:tc>
        <w:tc>
          <w:tcPr>
            <w:tcW w:w="778" w:type="dxa"/>
            <w:shd w:val="clear" w:color="auto" w:fill="E6E6E6"/>
            <w:vAlign w:val="center"/>
          </w:tcPr>
          <w:p w14:paraId="6ABCC763">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温度</w:t>
            </w:r>
          </w:p>
          <w:p w14:paraId="673A1FD1">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895" w:type="dxa"/>
            <w:shd w:val="clear" w:color="auto" w:fill="E6E6E6"/>
            <w:vAlign w:val="center"/>
          </w:tcPr>
          <w:p w14:paraId="3BE3829F">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风速</w:t>
            </w:r>
          </w:p>
          <w:p w14:paraId="2216E49B">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35" w:type="dxa"/>
            <w:shd w:val="clear" w:color="auto" w:fill="E6E6E6"/>
            <w:vAlign w:val="center"/>
          </w:tcPr>
          <w:p w14:paraId="634CD5CA">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相对湿度</w:t>
            </w:r>
          </w:p>
          <w:p w14:paraId="15B28B2A">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421" w:type="dxa"/>
            <w:shd w:val="clear" w:color="auto" w:fill="E6E6E6"/>
            <w:vAlign w:val="center"/>
          </w:tcPr>
          <w:p w14:paraId="7D91897E">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平均辐射温度</w:t>
            </w:r>
          </w:p>
          <w:p w14:paraId="5354B2AA">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183" w:type="dxa"/>
            <w:shd w:val="clear" w:color="auto" w:fill="E6E6E6"/>
            <w:vAlign w:val="center"/>
          </w:tcPr>
          <w:p w14:paraId="73570264">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人体代谢</w:t>
            </w:r>
          </w:p>
          <w:p w14:paraId="6C039FFA">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184" w:type="dxa"/>
            <w:shd w:val="clear" w:color="auto" w:fill="E6E6E6"/>
            <w:vAlign w:val="center"/>
          </w:tcPr>
          <w:p w14:paraId="621D1827">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对外做功</w:t>
            </w:r>
          </w:p>
          <w:p w14:paraId="11348463">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169" w:type="dxa"/>
            <w:shd w:val="clear" w:color="auto" w:fill="E6E6E6"/>
            <w:vAlign w:val="center"/>
          </w:tcPr>
          <w:p w14:paraId="26C772E1">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服装热阻</w:t>
            </w:r>
          </w:p>
          <w:p w14:paraId="4C8EDBF5">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bookmarkEnd w:id="71"/>
      <w:tr w14:paraId="0C9D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512DCA37">
            <w:pPr>
              <w:pStyle w:val="3"/>
              <w:spacing w:line="280" w:lineRule="exact"/>
              <w:ind w:firstLine="0" w:firstLineChars="0"/>
              <w:jc w:val="center"/>
              <w:rPr>
                <w:rFonts w:hint="eastAsia" w:ascii="微软雅黑" w:hAnsi="微软雅黑" w:eastAsia="微软雅黑"/>
                <w:sz w:val="18"/>
                <w:szCs w:val="18"/>
              </w:rPr>
            </w:pPr>
            <w:r>
              <w:rPr>
                <w:rFonts w:hint="eastAsia" w:ascii="微软雅黑" w:hAnsi="微软雅黑" w:eastAsia="微软雅黑"/>
                <w:sz w:val="18"/>
                <w:szCs w:val="18"/>
              </w:rPr>
              <w:t>供暖</w:t>
            </w:r>
          </w:p>
        </w:tc>
        <w:tc>
          <w:tcPr>
            <w:tcW w:w="778" w:type="dxa"/>
            <w:vAlign w:val="center"/>
          </w:tcPr>
          <w:p w14:paraId="64B38FEC">
            <w:pPr>
              <w:pStyle w:val="3"/>
              <w:spacing w:line="280" w:lineRule="exact"/>
              <w:ind w:firstLine="0" w:firstLineChars="0"/>
              <w:jc w:val="center"/>
              <w:rPr>
                <w:rFonts w:hint="eastAsia" w:ascii="微软雅黑" w:hAnsi="微软雅黑" w:eastAsia="微软雅黑"/>
                <w:sz w:val="18"/>
                <w:szCs w:val="18"/>
              </w:rPr>
            </w:pPr>
            <w:bookmarkStart w:id="73" w:name="温度"/>
            <w:bookmarkStart w:id="74" w:name="供暖期温度"/>
            <w:r>
              <w:t>20.00</w:t>
            </w:r>
            <w:bookmarkEnd w:id="73"/>
            <w:bookmarkEnd w:id="74"/>
          </w:p>
        </w:tc>
        <w:tc>
          <w:tcPr>
            <w:tcW w:w="895" w:type="dxa"/>
          </w:tcPr>
          <w:p w14:paraId="57A538CF">
            <w:pPr>
              <w:pStyle w:val="3"/>
              <w:spacing w:line="280" w:lineRule="exact"/>
              <w:ind w:firstLine="0" w:firstLineChars="0"/>
              <w:jc w:val="center"/>
              <w:rPr>
                <w:rFonts w:hint="eastAsia" w:ascii="微软雅黑" w:hAnsi="微软雅黑" w:eastAsia="微软雅黑"/>
                <w:sz w:val="18"/>
                <w:szCs w:val="18"/>
              </w:rPr>
            </w:pPr>
            <w:bookmarkStart w:id="75" w:name="风速"/>
            <w:bookmarkStart w:id="76" w:name="供暖期风速"/>
            <w:r>
              <w:t>0.10</w:t>
            </w:r>
            <w:bookmarkEnd w:id="75"/>
            <w:bookmarkEnd w:id="76"/>
          </w:p>
        </w:tc>
        <w:tc>
          <w:tcPr>
            <w:tcW w:w="1035" w:type="dxa"/>
          </w:tcPr>
          <w:p w14:paraId="78814280">
            <w:pPr>
              <w:pStyle w:val="3"/>
              <w:spacing w:line="280" w:lineRule="exact"/>
              <w:ind w:left="-733" w:leftChars="-349" w:firstLine="942" w:firstLineChars="449"/>
              <w:jc w:val="center"/>
              <w:rPr>
                <w:rFonts w:hint="eastAsia" w:ascii="微软雅黑" w:hAnsi="微软雅黑" w:eastAsia="微软雅黑"/>
                <w:sz w:val="18"/>
                <w:szCs w:val="18"/>
              </w:rPr>
            </w:pPr>
            <w:bookmarkStart w:id="77" w:name="相对湿度"/>
            <w:bookmarkStart w:id="78" w:name="供暖期相对湿度"/>
            <w:r>
              <w:t>40.0</w:t>
            </w:r>
            <w:bookmarkEnd w:id="77"/>
            <w:bookmarkEnd w:id="78"/>
          </w:p>
        </w:tc>
        <w:tc>
          <w:tcPr>
            <w:tcW w:w="1421" w:type="dxa"/>
          </w:tcPr>
          <w:p w14:paraId="11E11885">
            <w:pPr>
              <w:pStyle w:val="3"/>
              <w:spacing w:line="280" w:lineRule="exact"/>
              <w:ind w:firstLine="0" w:firstLineChars="0"/>
              <w:jc w:val="center"/>
              <w:rPr>
                <w:rFonts w:hint="eastAsia" w:ascii="微软雅黑" w:hAnsi="微软雅黑" w:eastAsia="微软雅黑"/>
                <w:sz w:val="18"/>
                <w:szCs w:val="18"/>
              </w:rPr>
            </w:pPr>
            <w:bookmarkStart w:id="79" w:name="平均辐射温度"/>
            <w:bookmarkStart w:id="80" w:name="供暖期平均辐射温度"/>
            <w:r>
              <w:t>20.00</w:t>
            </w:r>
            <w:bookmarkEnd w:id="79"/>
            <w:bookmarkEnd w:id="80"/>
          </w:p>
        </w:tc>
        <w:tc>
          <w:tcPr>
            <w:tcW w:w="1183" w:type="dxa"/>
          </w:tcPr>
          <w:p w14:paraId="03766F13">
            <w:pPr>
              <w:pStyle w:val="3"/>
              <w:spacing w:line="280" w:lineRule="exact"/>
              <w:ind w:firstLine="0" w:firstLineChars="0"/>
              <w:jc w:val="center"/>
              <w:rPr>
                <w:rFonts w:hint="eastAsia" w:ascii="微软雅黑" w:hAnsi="微软雅黑" w:eastAsia="微软雅黑"/>
                <w:sz w:val="18"/>
                <w:szCs w:val="18"/>
              </w:rPr>
            </w:pPr>
            <w:bookmarkStart w:id="81" w:name="供暖期人体代谢"/>
            <w:bookmarkStart w:id="82" w:name="人体代谢"/>
            <w:r>
              <w:t>1.20</w:t>
            </w:r>
            <w:bookmarkEnd w:id="81"/>
            <w:bookmarkEnd w:id="82"/>
          </w:p>
        </w:tc>
        <w:tc>
          <w:tcPr>
            <w:tcW w:w="1184" w:type="dxa"/>
          </w:tcPr>
          <w:p w14:paraId="718FEDB0">
            <w:pPr>
              <w:pStyle w:val="3"/>
              <w:spacing w:line="280" w:lineRule="exact"/>
              <w:ind w:firstLine="0" w:firstLineChars="0"/>
              <w:jc w:val="center"/>
              <w:rPr>
                <w:rFonts w:hint="eastAsia" w:ascii="微软雅黑" w:hAnsi="微软雅黑" w:eastAsia="微软雅黑"/>
                <w:sz w:val="18"/>
                <w:szCs w:val="18"/>
              </w:rPr>
            </w:pPr>
            <w:bookmarkStart w:id="83" w:name="供暖期对外做功"/>
            <w:bookmarkStart w:id="84" w:name="对外做功"/>
            <w:r>
              <w:t>0.00</w:t>
            </w:r>
            <w:bookmarkEnd w:id="83"/>
            <w:bookmarkEnd w:id="84"/>
          </w:p>
        </w:tc>
        <w:tc>
          <w:tcPr>
            <w:tcW w:w="1169" w:type="dxa"/>
          </w:tcPr>
          <w:p w14:paraId="399E6536">
            <w:pPr>
              <w:pStyle w:val="3"/>
              <w:spacing w:line="280" w:lineRule="exact"/>
              <w:ind w:firstLine="0" w:firstLineChars="0"/>
              <w:jc w:val="center"/>
              <w:rPr>
                <w:rFonts w:hint="eastAsia" w:ascii="微软雅黑" w:hAnsi="微软雅黑" w:eastAsia="微软雅黑"/>
                <w:sz w:val="18"/>
                <w:szCs w:val="18"/>
              </w:rPr>
            </w:pPr>
            <w:bookmarkStart w:id="85" w:name="供暖期服装热阻"/>
            <w:bookmarkStart w:id="86" w:name="服装热阻"/>
            <w:r>
              <w:t>1.20</w:t>
            </w:r>
            <w:bookmarkEnd w:id="85"/>
            <w:bookmarkEnd w:id="86"/>
          </w:p>
        </w:tc>
      </w:tr>
      <w:tr w14:paraId="7D81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13661719">
            <w:pPr>
              <w:pStyle w:val="3"/>
              <w:spacing w:line="280" w:lineRule="exact"/>
              <w:ind w:firstLine="0" w:firstLineChars="0"/>
              <w:jc w:val="center"/>
              <w:rPr>
                <w:rFonts w:hint="eastAsia" w:ascii="微软雅黑" w:hAnsi="微软雅黑" w:eastAsia="微软雅黑"/>
                <w:sz w:val="18"/>
                <w:szCs w:val="18"/>
              </w:rPr>
            </w:pPr>
            <w:r>
              <w:rPr>
                <w:rFonts w:hint="eastAsia" w:ascii="微软雅黑" w:hAnsi="微软雅黑" w:eastAsia="微软雅黑"/>
                <w:sz w:val="18"/>
                <w:szCs w:val="18"/>
              </w:rPr>
              <w:t>供冷</w:t>
            </w:r>
          </w:p>
        </w:tc>
        <w:tc>
          <w:tcPr>
            <w:tcW w:w="778" w:type="dxa"/>
            <w:vAlign w:val="center"/>
          </w:tcPr>
          <w:p w14:paraId="4E90CD42">
            <w:pPr>
              <w:pStyle w:val="3"/>
              <w:spacing w:line="280" w:lineRule="exact"/>
              <w:ind w:firstLine="0" w:firstLineChars="0"/>
              <w:jc w:val="center"/>
              <w:rPr>
                <w:rFonts w:hint="eastAsia" w:ascii="微软雅黑" w:hAnsi="微软雅黑" w:eastAsia="微软雅黑"/>
                <w:sz w:val="18"/>
                <w:szCs w:val="18"/>
              </w:rPr>
            </w:pPr>
            <w:bookmarkStart w:id="87" w:name="供冷期温度"/>
            <w:r>
              <w:t>26.00</w:t>
            </w:r>
            <w:bookmarkEnd w:id="87"/>
          </w:p>
        </w:tc>
        <w:tc>
          <w:tcPr>
            <w:tcW w:w="895" w:type="dxa"/>
          </w:tcPr>
          <w:p w14:paraId="241F3924">
            <w:pPr>
              <w:pStyle w:val="3"/>
              <w:spacing w:line="280" w:lineRule="exact"/>
              <w:ind w:firstLine="0" w:firstLineChars="0"/>
              <w:jc w:val="center"/>
              <w:rPr>
                <w:rFonts w:hint="eastAsia" w:ascii="微软雅黑" w:hAnsi="微软雅黑" w:eastAsia="微软雅黑"/>
                <w:sz w:val="18"/>
                <w:szCs w:val="18"/>
              </w:rPr>
            </w:pPr>
            <w:bookmarkStart w:id="88" w:name="供冷期风速"/>
            <w:r>
              <w:t>0.10</w:t>
            </w:r>
            <w:bookmarkEnd w:id="88"/>
          </w:p>
        </w:tc>
        <w:tc>
          <w:tcPr>
            <w:tcW w:w="1035" w:type="dxa"/>
          </w:tcPr>
          <w:p w14:paraId="5CDFDD96">
            <w:pPr>
              <w:pStyle w:val="3"/>
              <w:spacing w:line="280" w:lineRule="exact"/>
              <w:ind w:left="-733" w:leftChars="-349" w:firstLine="942" w:firstLineChars="449"/>
              <w:jc w:val="center"/>
              <w:rPr>
                <w:rFonts w:hint="eastAsia" w:ascii="微软雅黑" w:hAnsi="微软雅黑" w:eastAsia="微软雅黑"/>
                <w:sz w:val="18"/>
                <w:szCs w:val="18"/>
              </w:rPr>
            </w:pPr>
            <w:bookmarkStart w:id="89" w:name="供冷期相对湿度"/>
            <w:r>
              <w:t>50.0</w:t>
            </w:r>
            <w:bookmarkEnd w:id="89"/>
          </w:p>
        </w:tc>
        <w:tc>
          <w:tcPr>
            <w:tcW w:w="1421" w:type="dxa"/>
          </w:tcPr>
          <w:p w14:paraId="1344B696">
            <w:pPr>
              <w:pStyle w:val="3"/>
              <w:spacing w:line="280" w:lineRule="exact"/>
              <w:ind w:firstLine="0" w:firstLineChars="0"/>
              <w:jc w:val="center"/>
              <w:rPr>
                <w:rFonts w:hint="eastAsia" w:ascii="微软雅黑" w:hAnsi="微软雅黑" w:eastAsia="微软雅黑"/>
                <w:sz w:val="18"/>
                <w:szCs w:val="18"/>
              </w:rPr>
            </w:pPr>
            <w:bookmarkStart w:id="90" w:name="供冷期平均辐射温度"/>
            <w:r>
              <w:t>26.00</w:t>
            </w:r>
            <w:bookmarkEnd w:id="90"/>
          </w:p>
        </w:tc>
        <w:tc>
          <w:tcPr>
            <w:tcW w:w="1183" w:type="dxa"/>
          </w:tcPr>
          <w:p w14:paraId="4E1D4BF8">
            <w:pPr>
              <w:pStyle w:val="3"/>
              <w:spacing w:line="280" w:lineRule="exact"/>
              <w:ind w:firstLine="0" w:firstLineChars="0"/>
              <w:jc w:val="center"/>
              <w:rPr>
                <w:rFonts w:hint="eastAsia" w:ascii="微软雅黑" w:hAnsi="微软雅黑" w:eastAsia="微软雅黑"/>
                <w:sz w:val="18"/>
                <w:szCs w:val="18"/>
              </w:rPr>
            </w:pPr>
            <w:bookmarkStart w:id="91" w:name="供冷期人体代谢"/>
            <w:r>
              <w:t>1.20</w:t>
            </w:r>
            <w:bookmarkEnd w:id="91"/>
          </w:p>
        </w:tc>
        <w:tc>
          <w:tcPr>
            <w:tcW w:w="1184" w:type="dxa"/>
          </w:tcPr>
          <w:p w14:paraId="54F83AC4">
            <w:pPr>
              <w:pStyle w:val="3"/>
              <w:spacing w:line="280" w:lineRule="exact"/>
              <w:ind w:firstLine="0" w:firstLineChars="0"/>
              <w:jc w:val="center"/>
              <w:rPr>
                <w:rFonts w:hint="eastAsia" w:ascii="微软雅黑" w:hAnsi="微软雅黑" w:eastAsia="微软雅黑"/>
                <w:sz w:val="18"/>
                <w:szCs w:val="18"/>
              </w:rPr>
            </w:pPr>
            <w:bookmarkStart w:id="92" w:name="供冷期对外做功"/>
            <w:r>
              <w:t>0.00</w:t>
            </w:r>
            <w:bookmarkEnd w:id="92"/>
          </w:p>
        </w:tc>
        <w:tc>
          <w:tcPr>
            <w:tcW w:w="1169" w:type="dxa"/>
          </w:tcPr>
          <w:p w14:paraId="51F34A98">
            <w:pPr>
              <w:pStyle w:val="3"/>
              <w:spacing w:line="280" w:lineRule="exact"/>
              <w:ind w:firstLine="0" w:firstLineChars="0"/>
              <w:jc w:val="center"/>
              <w:rPr>
                <w:rFonts w:hint="eastAsia" w:ascii="微软雅黑" w:hAnsi="微软雅黑" w:eastAsia="微软雅黑"/>
                <w:sz w:val="18"/>
                <w:szCs w:val="18"/>
              </w:rPr>
            </w:pPr>
            <w:bookmarkStart w:id="93" w:name="供冷期服装热阻"/>
            <w:r>
              <w:t>0.60</w:t>
            </w:r>
            <w:bookmarkEnd w:id="93"/>
          </w:p>
        </w:tc>
      </w:tr>
      <w:bookmarkEnd w:id="72"/>
    </w:tbl>
    <w:p w14:paraId="6AD01C2A">
      <w:pPr>
        <w:pStyle w:val="2"/>
        <w:spacing w:before="312"/>
        <w:rPr>
          <w:rFonts w:hint="eastAsia"/>
        </w:rPr>
      </w:pPr>
      <w:bookmarkStart w:id="94" w:name="_Toc10136"/>
      <w:bookmarkStart w:id="95" w:name="_Toc44772825"/>
      <w:r>
        <w:rPr>
          <w:rFonts w:hint="eastAsia"/>
        </w:rPr>
        <w:t>计算结果</w:t>
      </w:r>
      <w:bookmarkEnd w:id="94"/>
      <w:bookmarkEnd w:id="95"/>
    </w:p>
    <w:p w14:paraId="4CD569AC">
      <w:pPr>
        <w:pStyle w:val="4"/>
        <w:spacing w:before="156"/>
        <w:rPr>
          <w:rFonts w:hint="eastAsia"/>
        </w:rPr>
      </w:pPr>
      <w:bookmarkStart w:id="96" w:name="_Toc18288"/>
      <w:bookmarkStart w:id="97" w:name="_Toc44772826"/>
      <w:r>
        <w:rPr>
          <w:rFonts w:hint="eastAsia"/>
        </w:rPr>
        <w:t>PMV-PPD指标</w:t>
      </w:r>
      <w:bookmarkEnd w:id="96"/>
      <w:bookmarkEnd w:id="97"/>
    </w:p>
    <w:p w14:paraId="3243D369">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6F123A82">
      <w:pPr>
        <w:pStyle w:val="3"/>
        <w:spacing w:before="156" w:beforeLines="50" w:line="400" w:lineRule="exact"/>
        <w:ind w:firstLine="169" w:firstLineChars="94"/>
        <w:jc w:val="center"/>
        <w:rPr>
          <w:rFonts w:hint="eastAsia"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680DD5B3">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295B857D">
            <w:pPr>
              <w:tabs>
                <w:tab w:val="left" w:pos="0"/>
              </w:tabs>
              <w:spacing w:line="400" w:lineRule="exact"/>
              <w:ind w:hanging="2"/>
              <w:jc w:val="center"/>
              <w:rPr>
                <w:rFonts w:hint="eastAsia"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371CD46B">
            <w:pPr>
              <w:tabs>
                <w:tab w:val="left" w:pos="0"/>
              </w:tabs>
              <w:spacing w:line="400" w:lineRule="exact"/>
              <w:jc w:val="center"/>
              <w:rPr>
                <w:rFonts w:hint="eastAsia" w:ascii="微软雅黑" w:hAnsi="微软雅黑" w:eastAsia="微软雅黑"/>
                <w:b/>
                <w:sz w:val="18"/>
                <w:szCs w:val="18"/>
              </w:rPr>
            </w:pPr>
            <w:r>
              <w:rPr>
                <w:rFonts w:ascii="微软雅黑" w:hAnsi="微软雅黑" w:eastAsia="微软雅黑"/>
                <w:b/>
                <w:sz w:val="18"/>
                <w:szCs w:val="18"/>
              </w:rPr>
              <w:t>整体评价指标</w:t>
            </w:r>
          </w:p>
        </w:tc>
      </w:tr>
      <w:tr w14:paraId="0CA7AA44">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vAlign w:val="center"/>
          </w:tcPr>
          <w:p w14:paraId="75CC2325">
            <w:pPr>
              <w:tabs>
                <w:tab w:val="left" w:pos="0"/>
              </w:tabs>
              <w:spacing w:line="400" w:lineRule="exact"/>
              <w:ind w:hanging="2"/>
              <w:jc w:val="center"/>
              <w:rPr>
                <w:rFonts w:hint="eastAsia"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vAlign w:val="center"/>
          </w:tcPr>
          <w:p w14:paraId="336D2A98">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vAlign w:val="center"/>
          </w:tcPr>
          <w:p w14:paraId="7E07CF46">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55BDCEFF">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vAlign w:val="center"/>
          </w:tcPr>
          <w:p w14:paraId="173BB3AB">
            <w:pPr>
              <w:tabs>
                <w:tab w:val="left" w:pos="0"/>
              </w:tabs>
              <w:spacing w:line="400" w:lineRule="exact"/>
              <w:ind w:hanging="2"/>
              <w:jc w:val="center"/>
              <w:rPr>
                <w:rFonts w:hint="eastAsia"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vAlign w:val="center"/>
          </w:tcPr>
          <w:p w14:paraId="68686D1A">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vAlign w:val="center"/>
          </w:tcPr>
          <w:p w14:paraId="092E7150">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66285714">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vAlign w:val="center"/>
          </w:tcPr>
          <w:p w14:paraId="6DBAEAAB">
            <w:pPr>
              <w:tabs>
                <w:tab w:val="left" w:pos="0"/>
              </w:tabs>
              <w:spacing w:line="400" w:lineRule="exact"/>
              <w:ind w:hanging="2"/>
              <w:jc w:val="center"/>
              <w:rPr>
                <w:rFonts w:hint="eastAsia"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vAlign w:val="center"/>
          </w:tcPr>
          <w:p w14:paraId="36C9A0C0">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vAlign w:val="center"/>
          </w:tcPr>
          <w:p w14:paraId="7028BEB0">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34A17EE5">
      <w:pPr>
        <w:pStyle w:val="3"/>
        <w:spacing w:line="400" w:lineRule="exact"/>
        <w:ind w:firstLine="0" w:firstLineChars="0"/>
        <w:rPr>
          <w:rFonts w:hint="eastAsia" w:ascii="微软雅黑" w:hAnsi="微软雅黑" w:eastAsia="微软雅黑"/>
          <w:color w:val="FF0000"/>
          <w:lang w:val="en-US"/>
        </w:rPr>
      </w:pPr>
    </w:p>
    <w:p w14:paraId="328DEEDC">
      <w:pPr>
        <w:pStyle w:val="4"/>
        <w:spacing w:before="156"/>
        <w:rPr>
          <w:rFonts w:hint="eastAsia"/>
        </w:rPr>
      </w:pPr>
      <w:bookmarkStart w:id="98" w:name="达标统计表"/>
      <w:bookmarkEnd w:id="98"/>
      <w:bookmarkStart w:id="99" w:name="_Toc44772827"/>
      <w:bookmarkStart w:id="100" w:name="_Toc6027"/>
      <w:r>
        <w:rPr>
          <w:rFonts w:hint="eastAsia"/>
        </w:rPr>
        <w:t>达标情况</w:t>
      </w:r>
      <w:bookmarkEnd w:id="99"/>
      <w:bookmarkEnd w:id="100"/>
    </w:p>
    <w:p w14:paraId="0A113555">
      <w:pPr>
        <w:pStyle w:val="3"/>
        <w:spacing w:line="400" w:lineRule="exact"/>
        <w:ind w:left="143" w:leftChars="68" w:firstLine="420"/>
        <w:rPr>
          <w:rFonts w:hint="eastAsia" w:ascii="微软雅黑" w:hAnsi="微软雅黑" w:eastAsia="微软雅黑"/>
          <w:lang w:val="en-US"/>
        </w:rPr>
      </w:pPr>
      <w:r>
        <w:rPr>
          <w:rFonts w:hint="eastAsia" w:ascii="微软雅黑" w:hAnsi="微软雅黑" w:eastAsia="微软雅黑"/>
          <w:lang w:val="en-US"/>
        </w:rPr>
        <w:t>本项目结合前述计算参数对所有参评房间进行了PMV-PPD计算，</w:t>
      </w:r>
      <w:bookmarkStart w:id="101" w:name="供冷期达标情况"/>
      <w:bookmarkStart w:id="102" w:name="供冷期达标"/>
      <w:r>
        <w:rPr>
          <w:rFonts w:hint="eastAsia" w:ascii="微软雅黑" w:hAnsi="微软雅黑" w:eastAsia="微软雅黑"/>
          <w:lang w:val="en-US"/>
        </w:rPr>
        <w:t>供冷期</w:t>
      </w:r>
      <w:bookmarkEnd w:id="101"/>
      <w:bookmarkEnd w:id="102"/>
      <w:r>
        <w:rPr>
          <w:rFonts w:hint="eastAsia" w:ascii="微软雅黑" w:hAnsi="微软雅黑" w:eastAsia="微软雅黑"/>
          <w:lang w:val="en-US"/>
        </w:rPr>
        <w:t>PMV为</w:t>
      </w:r>
      <w:bookmarkStart w:id="103" w:name="PMV"/>
      <w:bookmarkStart w:id="104" w:name="供冷期PMV结果"/>
      <w:r>
        <w:rPr>
          <w:rFonts w:hint="eastAsia" w:ascii="微软雅黑" w:hAnsi="微软雅黑" w:eastAsia="微软雅黑"/>
          <w:lang w:val="en-US"/>
        </w:rPr>
        <w:t>0.51</w:t>
      </w:r>
      <w:bookmarkEnd w:id="103"/>
      <w:bookmarkEnd w:id="104"/>
      <w:r>
        <w:rPr>
          <w:rFonts w:hint="eastAsia" w:ascii="微软雅黑" w:hAnsi="微软雅黑" w:eastAsia="微软雅黑"/>
          <w:lang w:val="en-US"/>
        </w:rPr>
        <w:t>，PPD为</w:t>
      </w:r>
      <w:bookmarkStart w:id="105" w:name="供冷期PPD结果"/>
      <w:bookmarkStart w:id="106" w:name="PPD"/>
      <w:r>
        <w:rPr>
          <w:rFonts w:hint="eastAsia" w:ascii="微软雅黑" w:hAnsi="微软雅黑" w:eastAsia="微软雅黑"/>
          <w:lang w:val="en-US"/>
        </w:rPr>
        <w:t>10.05</w:t>
      </w:r>
      <w:bookmarkEnd w:id="105"/>
      <w:bookmarkEnd w:id="106"/>
      <w:r>
        <w:rPr>
          <w:rFonts w:hint="eastAsia" w:ascii="微软雅黑" w:hAnsi="微软雅黑" w:eastAsia="微软雅黑"/>
          <w:lang w:val="en-US"/>
        </w:rPr>
        <w:t>%，</w:t>
      </w:r>
      <w:bookmarkStart w:id="107" w:name="供暖期达标情况"/>
      <w:r>
        <w:rPr>
          <w:rFonts w:hint="eastAsia" w:ascii="微软雅黑" w:hAnsi="微软雅黑" w:eastAsia="微软雅黑"/>
          <w:lang w:val="en-US"/>
        </w:rPr>
        <w:t>供暖期</w:t>
      </w:r>
      <w:bookmarkEnd w:id="107"/>
      <w:r>
        <w:rPr>
          <w:rFonts w:hint="eastAsia" w:ascii="微软雅黑" w:hAnsi="微软雅黑" w:eastAsia="微软雅黑"/>
          <w:lang w:val="en-US"/>
        </w:rPr>
        <w:t>P</w:t>
      </w:r>
      <w:r>
        <w:rPr>
          <w:rFonts w:ascii="微软雅黑" w:hAnsi="微软雅黑" w:eastAsia="微软雅黑"/>
          <w:lang w:val="en-US"/>
        </w:rPr>
        <w:t>MV</w:t>
      </w:r>
      <w:r>
        <w:rPr>
          <w:rFonts w:hint="eastAsia" w:ascii="微软雅黑" w:hAnsi="微软雅黑" w:eastAsia="微软雅黑"/>
          <w:lang w:val="en-US"/>
        </w:rPr>
        <w:t>为</w:t>
      </w:r>
      <w:bookmarkStart w:id="108" w:name="供暖期PMV结果"/>
      <w:r>
        <w:rPr>
          <w:rFonts w:hint="eastAsia" w:ascii="微软雅黑" w:hAnsi="微软雅黑" w:eastAsia="微软雅黑"/>
          <w:lang w:val="en-US"/>
        </w:rPr>
        <w:t>-0.16</w:t>
      </w:r>
      <w:bookmarkEnd w:id="108"/>
      <w:r>
        <w:rPr>
          <w:rFonts w:hint="eastAsia" w:ascii="微软雅黑" w:hAnsi="微软雅黑" w:eastAsia="微软雅黑"/>
          <w:lang w:val="en-US"/>
        </w:rPr>
        <w:t>，P</w:t>
      </w:r>
      <w:r>
        <w:rPr>
          <w:rFonts w:ascii="微软雅黑" w:hAnsi="微软雅黑" w:eastAsia="微软雅黑"/>
          <w:lang w:val="en-US"/>
        </w:rPr>
        <w:t>PD</w:t>
      </w:r>
      <w:r>
        <w:rPr>
          <w:rFonts w:hint="eastAsia" w:ascii="微软雅黑" w:hAnsi="微软雅黑" w:eastAsia="微软雅黑"/>
          <w:lang w:val="en-US"/>
        </w:rPr>
        <w:t>为</w:t>
      </w:r>
      <w:bookmarkStart w:id="109" w:name="供暖期PPD结果"/>
      <w:r>
        <w:rPr>
          <w:rFonts w:hint="eastAsia" w:ascii="微软雅黑" w:hAnsi="微软雅黑" w:eastAsia="微软雅黑"/>
          <w:lang w:val="en-US"/>
        </w:rPr>
        <w:t>5.47</w:t>
      </w:r>
      <w:bookmarkEnd w:id="109"/>
      <w:r>
        <w:rPr>
          <w:rFonts w:ascii="微软雅黑" w:hAnsi="微软雅黑" w:eastAsia="微软雅黑"/>
          <w:lang w:val="en-US"/>
        </w:rPr>
        <w:t>%</w:t>
      </w:r>
      <w:r>
        <w:rPr>
          <w:rFonts w:hint="eastAsia" w:ascii="微软雅黑" w:hAnsi="微软雅黑" w:eastAsia="微软雅黑"/>
          <w:lang w:val="en-US"/>
        </w:rPr>
        <w:t>。本项目房间内热湿环境参数分布均匀，因此达标面积比例为</w:t>
      </w:r>
      <w:bookmarkStart w:id="110" w:name="最不利工况达标比例"/>
      <w:r>
        <w:rPr>
          <w:rFonts w:hint="eastAsia" w:ascii="微软雅黑" w:hAnsi="微软雅黑" w:eastAsia="微软雅黑"/>
          <w:lang w:val="en-US"/>
        </w:rPr>
        <w:t>100.00%</w:t>
      </w:r>
      <w:bookmarkEnd w:id="110"/>
      <w:r>
        <w:rPr>
          <w:rFonts w:hint="eastAsia" w:ascii="微软雅黑" w:hAnsi="微软雅黑" w:eastAsia="微软雅黑"/>
          <w:lang w:val="en-US"/>
        </w:rPr>
        <w:t>。</w:t>
      </w:r>
    </w:p>
    <w:p w14:paraId="5137B553">
      <w:pPr>
        <w:spacing w:line="400" w:lineRule="exact"/>
        <w:ind w:firstLine="213" w:firstLineChars="97"/>
        <w:rPr>
          <w:rFonts w:hint="eastAsia" w:ascii="微软雅黑" w:hAnsi="微软雅黑" w:eastAsia="微软雅黑"/>
          <w:sz w:val="22"/>
          <w:szCs w:val="24"/>
        </w:rPr>
      </w:pPr>
    </w:p>
    <w:p w14:paraId="61341AE0">
      <w:pPr>
        <w:spacing w:line="400" w:lineRule="exact"/>
        <w:ind w:firstLine="174" w:firstLineChars="97"/>
        <w:rPr>
          <w:rFonts w:hint="eastAsia"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26F7E888">
      <w:pPr>
        <w:pStyle w:val="2"/>
        <w:spacing w:before="312"/>
        <w:rPr>
          <w:rFonts w:hint="eastAsia"/>
        </w:rPr>
      </w:pPr>
      <w:bookmarkStart w:id="111" w:name="_Toc44772828"/>
      <w:bookmarkStart w:id="112" w:name="_Toc44662482"/>
      <w:bookmarkStart w:id="113" w:name="_Toc23680"/>
      <w:r>
        <w:rPr>
          <w:rFonts w:hint="eastAsia"/>
        </w:rPr>
        <w:t>结论</w:t>
      </w:r>
      <w:bookmarkEnd w:id="111"/>
      <w:bookmarkEnd w:id="112"/>
      <w:bookmarkEnd w:id="113"/>
    </w:p>
    <w:p w14:paraId="0FA06521">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114" w:name="达标百分比"/>
      <w:r>
        <w:rPr>
          <w:rFonts w:hint="eastAsia" w:ascii="微软雅黑" w:hAnsi="微软雅黑" w:eastAsia="微软雅黑"/>
          <w:lang w:val="en-US"/>
        </w:rPr>
        <w:t>100.00%</w:t>
      </w:r>
      <w:bookmarkEnd w:id="114"/>
      <w:r>
        <w:rPr>
          <w:rFonts w:hint="eastAsia" w:ascii="微软雅黑" w:hAnsi="微软雅黑" w:eastAsia="微软雅黑"/>
          <w:lang w:val="en-US"/>
        </w:rPr>
        <w:t>，根据绿标5.2.9，应得</w:t>
      </w:r>
      <w:bookmarkStart w:id="115" w:name="得分"/>
      <w:r>
        <w:rPr>
          <w:rFonts w:hint="eastAsia" w:ascii="微软雅黑" w:hAnsi="微软雅黑" w:eastAsia="微软雅黑"/>
          <w:lang w:val="en-US"/>
        </w:rPr>
        <w:t>8</w:t>
      </w:r>
      <w:bookmarkEnd w:id="115"/>
      <w:r>
        <w:rPr>
          <w:rFonts w:hint="eastAsia" w:ascii="微软雅黑" w:hAnsi="微软雅黑" w:eastAsia="微软雅黑"/>
          <w:lang w:val="en-US"/>
        </w:rPr>
        <w:t>分。</w:t>
      </w:r>
    </w:p>
    <w:p w14:paraId="17544D8D">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14BA46B7">
      <w:tblPrEx>
        <w:tblCellMar>
          <w:top w:w="0" w:type="dxa"/>
          <w:left w:w="108" w:type="dxa"/>
          <w:bottom w:w="0" w:type="dxa"/>
          <w:right w:w="108" w:type="dxa"/>
        </w:tblCellMar>
      </w:tblPrEx>
      <w:tc>
        <w:tcPr>
          <w:tcW w:w="2840" w:type="dxa"/>
        </w:tcPr>
        <w:p w14:paraId="6841A753">
          <w:pPr>
            <w:pStyle w:val="17"/>
            <w:rPr>
              <w:rFonts w:hint="eastAsia" w:ascii="微软雅黑" w:hAnsi="微软雅黑" w:eastAsia="微软雅黑"/>
              <w:sz w:val="20"/>
              <w:szCs w:val="21"/>
            </w:rPr>
          </w:pPr>
        </w:p>
      </w:tc>
      <w:tc>
        <w:tcPr>
          <w:tcW w:w="2841" w:type="dxa"/>
        </w:tcPr>
        <w:p w14:paraId="39BCFCEF">
          <w:pPr>
            <w:pStyle w:val="17"/>
            <w:jc w:val="center"/>
            <w:rPr>
              <w:rFonts w:hint="eastAsia"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tcPr>
        <w:p w14:paraId="2240383D">
          <w:pPr>
            <w:pStyle w:val="17"/>
            <w:jc w:val="right"/>
            <w:rPr>
              <w:rFonts w:hint="eastAsia" w:ascii="微软雅黑" w:hAnsi="微软雅黑" w:eastAsia="微软雅黑"/>
              <w:sz w:val="20"/>
              <w:szCs w:val="21"/>
            </w:rPr>
          </w:pPr>
        </w:p>
      </w:tc>
    </w:tr>
  </w:tbl>
  <w:p w14:paraId="4937AA0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1003D">
    <w:pPr>
      <w:pStyle w:val="17"/>
      <w:jc w:val="center"/>
      <w:rPr>
        <w:rFonts w:hint="eastAsia" w:ascii="宋体" w:hAnsi="宋体"/>
        <w:szCs w:val="21"/>
      </w:rPr>
    </w:pPr>
  </w:p>
  <w:p w14:paraId="7CE2E56B">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0BDE7">
    <w:pPr>
      <w:pStyle w:val="18"/>
      <w:pBdr>
        <w:bottom w:val="single" w:color="auto" w:sz="6" w:space="0"/>
      </w:pBdr>
      <w:tabs>
        <w:tab w:val="center" w:pos="5031"/>
        <w:tab w:val="right" w:pos="10063"/>
        <w:tab w:val="clear" w:pos="4153"/>
        <w:tab w:val="clear" w:pos="8306"/>
      </w:tabs>
      <w:jc w:val="left"/>
      <w:rPr>
        <w:rFonts w:hint="eastAsia"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27E61"/>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E6C02"/>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340F"/>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79CF"/>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B3724"/>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D16BC"/>
    <w:rsid w:val="005E2482"/>
    <w:rsid w:val="005F38AF"/>
    <w:rsid w:val="005F4F73"/>
    <w:rsid w:val="006105F7"/>
    <w:rsid w:val="00611D64"/>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23A"/>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73DB9"/>
    <w:rsid w:val="00782889"/>
    <w:rsid w:val="007868A7"/>
    <w:rsid w:val="00790965"/>
    <w:rsid w:val="007A12D4"/>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0526"/>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47AD6"/>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2B63"/>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114E"/>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2050A"/>
    <w:rsid w:val="00C3112C"/>
    <w:rsid w:val="00C35502"/>
    <w:rsid w:val="00C37EFB"/>
    <w:rsid w:val="00C50BDB"/>
    <w:rsid w:val="00C57197"/>
    <w:rsid w:val="00C57948"/>
    <w:rsid w:val="00C63237"/>
    <w:rsid w:val="00C6335D"/>
    <w:rsid w:val="00C67778"/>
    <w:rsid w:val="00C72E58"/>
    <w:rsid w:val="00C75647"/>
    <w:rsid w:val="00C80565"/>
    <w:rsid w:val="00C82332"/>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5737C"/>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12B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4C16"/>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06A27E61"/>
    <w:rsid w:val="2EF371FB"/>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9.png"/><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bmp"/><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5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16BE6-8475-4153-ADBA-6ABC044CDABA}">
  <ds:schemaRefs/>
</ds:datastoreItem>
</file>

<file path=docProps/app.xml><?xml version="1.0" encoding="utf-8"?>
<Properties xmlns="http://schemas.openxmlformats.org/officeDocument/2006/extended-properties" xmlns:vt="http://schemas.openxmlformats.org/officeDocument/2006/docPropsVTypes">
  <Template>tmp155.dotx</Template>
  <Pages>9</Pages>
  <Words>1839</Words>
  <Characters>2325</Characters>
  <Lines>24</Lines>
  <Paragraphs>6</Paragraphs>
  <TotalTime>0</TotalTime>
  <ScaleCrop>false</ScaleCrop>
  <LinksUpToDate>false</LinksUpToDate>
  <CharactersWithSpaces>2449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2026-05-12T13:19:00Z</dcterms:created>
  <dc:creator>Administrator</dc:creator>
  <cp:lastModifiedBy>Administrator</cp:lastModifiedBy>
  <dcterms:modified xsi:type="dcterms:W3CDTF">2026-05-12T13:23:47Z</dcterms:modified>
  <dc:title>室内热湿环境预计达标比例报告书</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2B5F30CF21864FA8907684AE6FB6E7FA_11</vt:lpwstr>
  </property>
  <property fmtid="{D5CDD505-2E9C-101B-9397-08002B2CF9AE}" pid="4" name="KSOTemplateDocerSaveRecord">
    <vt:lpwstr>eyJoZGlkIjoiMzg2ZGM5YzBmOGM2ZGYzZTg1NDY2ZTQ1ZGU2YmQ4MzMiLCJ1c2VySWQiOiIzMTM1OTY0ODUifQ==</vt:lpwstr>
  </property>
</Properties>
</file>