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悠然·北方农村绿色家园设计</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北京</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r>
              <w:rPr>
                <w:rFonts w:hint="eastAsia" w:ascii="宋体" w:hAnsi="宋体"/>
                <w:szCs w:val="21"/>
              </w:rPr>
              <w:t>BK1A60085</w:t>
            </w:r>
            <w:bookmarkStart w:id="182" w:name="_GoBack"/>
            <w:bookmarkEnd w:id="18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北京建筑大学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2024年01月05日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"_Toc155353425" </w:instrText>
      </w:r>
      <w:r>
        <w:fldChar w:fldCharType="separate"/>
      </w:r>
      <w:r>
        <w:rPr>
          <w:rStyle w:val="26"/>
        </w:rPr>
        <w:t>1</w:t>
      </w:r>
      <w:r>
        <w:rPr>
          <w:rFonts w:asciiTheme="minorHAnsi" w:hAnsiTheme="minorHAnsi" w:eastAsiaTheme="minorEastAsia" w:cstheme="minorBidi"/>
          <w:b w:val="0"/>
          <w:bCs w:val="0"/>
          <w:szCs w:val="22"/>
          <w14:ligatures w14:val="standardContextual"/>
        </w:rPr>
        <w:tab/>
      </w:r>
      <w:r>
        <w:rPr>
          <w:rStyle w:val="26"/>
        </w:rPr>
        <w:t>项目概况</w:t>
      </w:r>
      <w:r>
        <w:tab/>
      </w:r>
      <w:r>
        <w:fldChar w:fldCharType="begin"/>
      </w:r>
      <w:r>
        <w:instrText xml:space="preserve"> PAGEREF _Toc155353425 \h </w:instrText>
      </w:r>
      <w:r>
        <w:fldChar w:fldCharType="separate"/>
      </w:r>
      <w:r>
        <w:t>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"_Toc155353426" </w:instrText>
      </w:r>
      <w:r>
        <w:fldChar w:fldCharType="separate"/>
      </w:r>
      <w:r>
        <w:rPr>
          <w:rStyle w:val="26"/>
          <w:lang w:val="en-GB"/>
        </w:rPr>
        <w:t>1.1</w:t>
      </w:r>
      <w:r>
        <w:rPr>
          <w:rFonts w:asciiTheme="minorHAnsi" w:hAnsiTheme="minorHAnsi" w:eastAsiaTheme="minorEastAsia" w:cstheme="minorBidi"/>
          <w:szCs w:val="22"/>
          <w14:ligatures w14:val="standardContextual"/>
        </w:rPr>
        <w:tab/>
      </w:r>
      <w:r>
        <w:rPr>
          <w:rStyle w:val="26"/>
        </w:rPr>
        <w:t>总平面图</w:t>
      </w:r>
      <w:r>
        <w:tab/>
      </w:r>
      <w:r>
        <w:fldChar w:fldCharType="begin"/>
      </w:r>
      <w:r>
        <w:instrText xml:space="preserve"> PAGEREF _Toc155353426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"_Toc155353427" </w:instrText>
      </w:r>
      <w:r>
        <w:fldChar w:fldCharType="separate"/>
      </w:r>
      <w:r>
        <w:rPr>
          <w:rStyle w:val="26"/>
          <w:lang w:val="en-GB"/>
        </w:rPr>
        <w:t>1.2</w:t>
      </w:r>
      <w:r>
        <w:rPr>
          <w:rFonts w:asciiTheme="minorHAnsi" w:hAnsiTheme="minorHAnsi" w:eastAsiaTheme="minorEastAsia" w:cstheme="minorBidi"/>
          <w:szCs w:val="22"/>
          <w14:ligatures w14:val="standardContextual"/>
        </w:rPr>
        <w:tab/>
      </w:r>
      <w:r>
        <w:rPr>
          <w:rStyle w:val="26"/>
        </w:rPr>
        <w:t>三维视图</w:t>
      </w:r>
      <w:r>
        <w:tab/>
      </w:r>
      <w:r>
        <w:fldChar w:fldCharType="begin"/>
      </w:r>
      <w:r>
        <w:instrText xml:space="preserve"> PAGEREF _Toc155353427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"_Toc155353428" </w:instrText>
      </w:r>
      <w:r>
        <w:fldChar w:fldCharType="separate"/>
      </w:r>
      <w:r>
        <w:rPr>
          <w:rStyle w:val="26"/>
        </w:rPr>
        <w:t>2</w:t>
      </w:r>
      <w:r>
        <w:rPr>
          <w:rFonts w:asciiTheme="minorHAnsi" w:hAnsiTheme="minorHAnsi" w:eastAsiaTheme="minorEastAsia" w:cstheme="minorBidi"/>
          <w:b w:val="0"/>
          <w:bCs w:val="0"/>
          <w:szCs w:val="22"/>
          <w14:ligatures w14:val="standardContextual"/>
        </w:rPr>
        <w:tab/>
      </w:r>
      <w:r>
        <w:rPr>
          <w:rStyle w:val="26"/>
        </w:rPr>
        <w:t>计算依据</w:t>
      </w:r>
      <w:r>
        <w:tab/>
      </w:r>
      <w:r>
        <w:fldChar w:fldCharType="begin"/>
      </w:r>
      <w:r>
        <w:instrText xml:space="preserve"> PAGEREF _Toc155353428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"_Toc155353429" </w:instrText>
      </w:r>
      <w:r>
        <w:fldChar w:fldCharType="separate"/>
      </w:r>
      <w:r>
        <w:rPr>
          <w:rStyle w:val="26"/>
        </w:rPr>
        <w:t>3</w:t>
      </w:r>
      <w:r>
        <w:rPr>
          <w:rFonts w:asciiTheme="minorHAnsi" w:hAnsiTheme="minorHAnsi" w:eastAsiaTheme="minorEastAsia" w:cstheme="minorBidi"/>
          <w:b w:val="0"/>
          <w:bCs w:val="0"/>
          <w:szCs w:val="22"/>
          <w14:ligatures w14:val="standardContextual"/>
        </w:rPr>
        <w:tab/>
      </w:r>
      <w:r>
        <w:rPr>
          <w:rStyle w:val="26"/>
        </w:rPr>
        <w:t>参考标准</w:t>
      </w:r>
      <w:r>
        <w:tab/>
      </w:r>
      <w:r>
        <w:fldChar w:fldCharType="begin"/>
      </w:r>
      <w:r>
        <w:instrText xml:space="preserve"> PAGEREF _Toc155353429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"_Toc155353430" </w:instrText>
      </w:r>
      <w:r>
        <w:fldChar w:fldCharType="separate"/>
      </w:r>
      <w:r>
        <w:rPr>
          <w:rStyle w:val="26"/>
        </w:rPr>
        <w:t>4</w:t>
      </w:r>
      <w:r>
        <w:rPr>
          <w:rFonts w:asciiTheme="minorHAnsi" w:hAnsiTheme="minorHAnsi" w:eastAsiaTheme="minorEastAsia" w:cstheme="minorBidi"/>
          <w:b w:val="0"/>
          <w:bCs w:val="0"/>
          <w:szCs w:val="22"/>
          <w14:ligatures w14:val="standardContextual"/>
        </w:rPr>
        <w:tab/>
      </w:r>
      <w:r>
        <w:rPr>
          <w:rStyle w:val="26"/>
        </w:rPr>
        <w:t>计算原理</w:t>
      </w:r>
      <w:r>
        <w:tab/>
      </w:r>
      <w:r>
        <w:fldChar w:fldCharType="begin"/>
      </w:r>
      <w:r>
        <w:instrText xml:space="preserve"> PAGEREF _Toc155353430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"_Toc155353431" </w:instrText>
      </w:r>
      <w:r>
        <w:fldChar w:fldCharType="separate"/>
      </w:r>
      <w:r>
        <w:rPr>
          <w:rStyle w:val="26"/>
          <w:lang w:val="en-GB"/>
        </w:rPr>
        <w:t>4.1</w:t>
      </w:r>
      <w:r>
        <w:rPr>
          <w:rFonts w:asciiTheme="minorHAnsi" w:hAnsiTheme="minorHAnsi" w:eastAsiaTheme="minorEastAsia" w:cstheme="minorBidi"/>
          <w:szCs w:val="22"/>
          <w14:ligatures w14:val="standardContextual"/>
        </w:rPr>
        <w:tab/>
      </w:r>
      <w:r>
        <w:rPr>
          <w:rStyle w:val="26"/>
        </w:rPr>
        <w:t>风场计算域</w:t>
      </w:r>
      <w:r>
        <w:tab/>
      </w:r>
      <w:r>
        <w:fldChar w:fldCharType="begin"/>
      </w:r>
      <w:r>
        <w:instrText xml:space="preserve"> PAGEREF _Toc155353431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"_Toc155353432" </w:instrText>
      </w:r>
      <w:r>
        <w:fldChar w:fldCharType="separate"/>
      </w:r>
      <w:r>
        <w:rPr>
          <w:rStyle w:val="26"/>
          <w:lang w:val="en-GB"/>
        </w:rPr>
        <w:t>4.1.1</w:t>
      </w:r>
      <w:r>
        <w:rPr>
          <w:rFonts w:asciiTheme="minorHAnsi" w:hAnsiTheme="minorHAnsi" w:eastAsiaTheme="minorEastAsia" w:cstheme="minorBidi"/>
          <w:szCs w:val="22"/>
          <w14:ligatures w14:val="standardContextual"/>
        </w:rPr>
        <w:tab/>
      </w:r>
      <w:r>
        <w:rPr>
          <w:rStyle w:val="26"/>
        </w:rPr>
        <w:t>冬季工况风场计算域</w:t>
      </w:r>
      <w:r>
        <w:tab/>
      </w:r>
      <w:r>
        <w:fldChar w:fldCharType="begin"/>
      </w:r>
      <w:r>
        <w:instrText xml:space="preserve"> PAGEREF _Toc155353432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"_Toc155353433" </w:instrText>
      </w:r>
      <w:r>
        <w:fldChar w:fldCharType="separate"/>
      </w:r>
      <w:r>
        <w:rPr>
          <w:rStyle w:val="26"/>
          <w:lang w:val="en-GB"/>
        </w:rPr>
        <w:t>4.1.2</w:t>
      </w:r>
      <w:r>
        <w:rPr>
          <w:rFonts w:asciiTheme="minorHAnsi" w:hAnsiTheme="minorHAnsi" w:eastAsiaTheme="minorEastAsia" w:cstheme="minorBidi"/>
          <w:szCs w:val="22"/>
          <w14:ligatures w14:val="standardContextual"/>
        </w:rPr>
        <w:tab/>
      </w:r>
      <w:r>
        <w:rPr>
          <w:rStyle w:val="26"/>
        </w:rPr>
        <w:t>夏季工况风场计算域</w:t>
      </w:r>
      <w:r>
        <w:tab/>
      </w:r>
      <w:r>
        <w:fldChar w:fldCharType="begin"/>
      </w:r>
      <w:r>
        <w:instrText xml:space="preserve"> PAGEREF _Toc155353433 \h </w:instrText>
      </w:r>
      <w:r>
        <w:fldChar w:fldCharType="separate"/>
      </w:r>
      <w:r>
        <w:t>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"_Toc155353434" </w:instrText>
      </w:r>
      <w:r>
        <w:fldChar w:fldCharType="separate"/>
      </w:r>
      <w:r>
        <w:rPr>
          <w:rStyle w:val="26"/>
          <w:lang w:val="en-GB"/>
        </w:rPr>
        <w:t>4.1.3</w:t>
      </w:r>
      <w:r>
        <w:rPr>
          <w:rFonts w:asciiTheme="minorHAnsi" w:hAnsiTheme="minorHAnsi" w:eastAsiaTheme="minorEastAsia" w:cstheme="minorBidi"/>
          <w:szCs w:val="22"/>
          <w14:ligatures w14:val="standardContextual"/>
        </w:rPr>
        <w:tab/>
      </w:r>
      <w:r>
        <w:rPr>
          <w:rStyle w:val="26"/>
        </w:rPr>
        <w:t>过渡季工况风场计算域</w:t>
      </w:r>
      <w:r>
        <w:tab/>
      </w:r>
      <w:r>
        <w:fldChar w:fldCharType="begin"/>
      </w:r>
      <w:r>
        <w:instrText xml:space="preserve"> PAGEREF _Toc155353434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"_Toc155353435" </w:instrText>
      </w:r>
      <w:r>
        <w:fldChar w:fldCharType="separate"/>
      </w:r>
      <w:r>
        <w:rPr>
          <w:rStyle w:val="26"/>
          <w:lang w:val="en-GB"/>
        </w:rPr>
        <w:t>4.2</w:t>
      </w:r>
      <w:r>
        <w:rPr>
          <w:rFonts w:asciiTheme="minorHAnsi" w:hAnsiTheme="minorHAnsi" w:eastAsiaTheme="minorEastAsia" w:cstheme="minorBidi"/>
          <w:szCs w:val="22"/>
          <w14:ligatures w14:val="standardContextual"/>
        </w:rPr>
        <w:tab/>
      </w:r>
      <w:r>
        <w:rPr>
          <w:rStyle w:val="26"/>
        </w:rPr>
        <w:t>网格划分</w:t>
      </w:r>
      <w:r>
        <w:tab/>
      </w:r>
      <w:r>
        <w:fldChar w:fldCharType="begin"/>
      </w:r>
      <w:r>
        <w:instrText xml:space="preserve"> PAGEREF _Toc155353435 \h </w:instrText>
      </w:r>
      <w:r>
        <w:fldChar w:fldCharType="separate"/>
      </w:r>
      <w:r>
        <w:t>8</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"_Toc155353436" </w:instrText>
      </w:r>
      <w:r>
        <w:fldChar w:fldCharType="separate"/>
      </w:r>
      <w:r>
        <w:rPr>
          <w:rStyle w:val="26"/>
          <w:lang w:val="en-GB"/>
        </w:rPr>
        <w:t>4.3</w:t>
      </w:r>
      <w:r>
        <w:rPr>
          <w:rFonts w:asciiTheme="minorHAnsi" w:hAnsiTheme="minorHAnsi" w:eastAsiaTheme="minorEastAsia" w:cstheme="minorBidi"/>
          <w:szCs w:val="22"/>
          <w14:ligatures w14:val="standardContextual"/>
        </w:rPr>
        <w:tab/>
      </w:r>
      <w:r>
        <w:rPr>
          <w:rStyle w:val="26"/>
        </w:rPr>
        <w:t>边界条件</w:t>
      </w:r>
      <w:r>
        <w:tab/>
      </w:r>
      <w:r>
        <w:fldChar w:fldCharType="begin"/>
      </w:r>
      <w:r>
        <w:instrText xml:space="preserve"> PAGEREF _Toc155353436 \h </w:instrText>
      </w:r>
      <w:r>
        <w:fldChar w:fldCharType="separate"/>
      </w:r>
      <w:r>
        <w:t>11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"_Toc155353437" </w:instrText>
      </w:r>
      <w:r>
        <w:fldChar w:fldCharType="separate"/>
      </w:r>
      <w:r>
        <w:rPr>
          <w:rStyle w:val="26"/>
          <w:lang w:val="en-GB"/>
        </w:rPr>
        <w:t>4.3.1</w:t>
      </w:r>
      <w:r>
        <w:rPr>
          <w:rFonts w:asciiTheme="minorHAnsi" w:hAnsiTheme="minorHAnsi" w:eastAsiaTheme="minorEastAsia" w:cstheme="minorBidi"/>
          <w:szCs w:val="22"/>
          <w14:ligatures w14:val="standardContextual"/>
        </w:rPr>
        <w:tab/>
      </w:r>
      <w:r>
        <w:rPr>
          <w:rStyle w:val="26"/>
        </w:rPr>
        <w:t>入口与出口边界条件</w:t>
      </w:r>
      <w:r>
        <w:tab/>
      </w:r>
      <w:r>
        <w:fldChar w:fldCharType="begin"/>
      </w:r>
      <w:r>
        <w:instrText xml:space="preserve"> PAGEREF _Toc155353437 \h </w:instrText>
      </w:r>
      <w:r>
        <w:fldChar w:fldCharType="separate"/>
      </w:r>
      <w:r>
        <w:t>11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"_Toc155353438" </w:instrText>
      </w:r>
      <w:r>
        <w:fldChar w:fldCharType="separate"/>
      </w:r>
      <w:r>
        <w:rPr>
          <w:rStyle w:val="26"/>
          <w:lang w:val="en-GB"/>
        </w:rPr>
        <w:t>4.3.2</w:t>
      </w:r>
      <w:r>
        <w:rPr>
          <w:rFonts w:asciiTheme="minorHAnsi" w:hAnsiTheme="minorHAnsi" w:eastAsiaTheme="minorEastAsia" w:cstheme="minorBidi"/>
          <w:szCs w:val="22"/>
          <w14:ligatures w14:val="standardContextual"/>
        </w:rPr>
        <w:tab/>
      </w:r>
      <w:r>
        <w:rPr>
          <w:rStyle w:val="26"/>
        </w:rPr>
        <w:t>壁面边界条件</w:t>
      </w:r>
      <w:r>
        <w:tab/>
      </w:r>
      <w:r>
        <w:fldChar w:fldCharType="begin"/>
      </w:r>
      <w:r>
        <w:instrText xml:space="preserve"> PAGEREF _Toc155353438 \h </w:instrText>
      </w:r>
      <w:r>
        <w:fldChar w:fldCharType="separate"/>
      </w:r>
      <w:r>
        <w:t>12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"_Toc155353439" </w:instrText>
      </w:r>
      <w:r>
        <w:fldChar w:fldCharType="separate"/>
      </w:r>
      <w:r>
        <w:rPr>
          <w:rStyle w:val="26"/>
          <w:lang w:val="en-GB"/>
        </w:rPr>
        <w:t>4.4</w:t>
      </w:r>
      <w:r>
        <w:rPr>
          <w:rFonts w:asciiTheme="minorHAnsi" w:hAnsiTheme="minorHAnsi" w:eastAsiaTheme="minorEastAsia" w:cstheme="minorBidi"/>
          <w:szCs w:val="22"/>
          <w14:ligatures w14:val="standardContextual"/>
        </w:rPr>
        <w:tab/>
      </w:r>
      <w:r>
        <w:rPr>
          <w:rStyle w:val="26"/>
        </w:rPr>
        <w:t>湍流模型</w:t>
      </w:r>
      <w:r>
        <w:tab/>
      </w:r>
      <w:r>
        <w:fldChar w:fldCharType="begin"/>
      </w:r>
      <w:r>
        <w:instrText xml:space="preserve"> PAGEREF _Toc155353439 \h </w:instrText>
      </w:r>
      <w:r>
        <w:fldChar w:fldCharType="separate"/>
      </w:r>
      <w:r>
        <w:t>12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"_Toc155353440" </w:instrText>
      </w:r>
      <w:r>
        <w:fldChar w:fldCharType="separate"/>
      </w:r>
      <w:r>
        <w:rPr>
          <w:rStyle w:val="26"/>
          <w:lang w:val="en-GB"/>
        </w:rPr>
        <w:t>4.5</w:t>
      </w:r>
      <w:r>
        <w:rPr>
          <w:rFonts w:asciiTheme="minorHAnsi" w:hAnsiTheme="minorHAnsi" w:eastAsiaTheme="minorEastAsia" w:cstheme="minorBidi"/>
          <w:szCs w:val="22"/>
          <w14:ligatures w14:val="standardContextual"/>
        </w:rPr>
        <w:tab/>
      </w:r>
      <w:r>
        <w:rPr>
          <w:rStyle w:val="26"/>
        </w:rPr>
        <w:t>求解计算</w:t>
      </w:r>
      <w:r>
        <w:tab/>
      </w:r>
      <w:r>
        <w:fldChar w:fldCharType="begin"/>
      </w:r>
      <w:r>
        <w:instrText xml:space="preserve"> PAGEREF _Toc155353440 \h </w:instrText>
      </w:r>
      <w:r>
        <w:fldChar w:fldCharType="separate"/>
      </w:r>
      <w:r>
        <w:t>13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"_Toc155353441" </w:instrText>
      </w:r>
      <w:r>
        <w:fldChar w:fldCharType="separate"/>
      </w:r>
      <w:r>
        <w:rPr>
          <w:rStyle w:val="26"/>
          <w:lang w:val="en-GB"/>
        </w:rPr>
        <w:t>4.6</w:t>
      </w:r>
      <w:r>
        <w:rPr>
          <w:rFonts w:asciiTheme="minorHAnsi" w:hAnsiTheme="minorHAnsi" w:eastAsiaTheme="minorEastAsia" w:cstheme="minorBidi"/>
          <w:szCs w:val="22"/>
          <w14:ligatures w14:val="standardContextual"/>
        </w:rPr>
        <w:tab/>
      </w:r>
      <w:r>
        <w:rPr>
          <w:rStyle w:val="26"/>
        </w:rPr>
        <w:t>风速放大系数计算</w:t>
      </w:r>
      <w:r>
        <w:tab/>
      </w:r>
      <w:r>
        <w:fldChar w:fldCharType="begin"/>
      </w:r>
      <w:r>
        <w:instrText xml:space="preserve"> PAGEREF _Toc155353441 \h </w:instrText>
      </w:r>
      <w:r>
        <w:fldChar w:fldCharType="separate"/>
      </w:r>
      <w:r>
        <w:t>14</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"_Toc155353442" </w:instrText>
      </w:r>
      <w:r>
        <w:fldChar w:fldCharType="separate"/>
      </w:r>
      <w:r>
        <w:rPr>
          <w:rStyle w:val="26"/>
        </w:rPr>
        <w:t>5</w:t>
      </w:r>
      <w:r>
        <w:rPr>
          <w:rFonts w:asciiTheme="minorHAnsi" w:hAnsiTheme="minorHAnsi" w:eastAsiaTheme="minorEastAsia" w:cstheme="minorBidi"/>
          <w:b w:val="0"/>
          <w:bCs w:val="0"/>
          <w:szCs w:val="22"/>
          <w14:ligatures w14:val="standardContextual"/>
        </w:rPr>
        <w:tab/>
      </w:r>
      <w:r>
        <w:rPr>
          <w:rStyle w:val="26"/>
        </w:rPr>
        <w:t>结果分析</w:t>
      </w:r>
      <w:r>
        <w:tab/>
      </w:r>
      <w:r>
        <w:fldChar w:fldCharType="begin"/>
      </w:r>
      <w:r>
        <w:instrText xml:space="preserve"> PAGEREF _Toc155353442 \h </w:instrText>
      </w:r>
      <w:r>
        <w:fldChar w:fldCharType="separate"/>
      </w:r>
      <w:r>
        <w:t>15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"_Toc155353443" </w:instrText>
      </w:r>
      <w:r>
        <w:fldChar w:fldCharType="separate"/>
      </w:r>
      <w:r>
        <w:rPr>
          <w:rStyle w:val="26"/>
          <w:lang w:val="en-GB"/>
        </w:rPr>
        <w:t>5.1</w:t>
      </w:r>
      <w:r>
        <w:rPr>
          <w:rFonts w:asciiTheme="minorHAnsi" w:hAnsiTheme="minorHAnsi" w:eastAsiaTheme="minorEastAsia" w:cstheme="minorBidi"/>
          <w:szCs w:val="22"/>
          <w14:ligatures w14:val="standardContextual"/>
        </w:rPr>
        <w:tab/>
      </w:r>
      <w:r>
        <w:rPr>
          <w:rStyle w:val="26"/>
        </w:rPr>
        <w:t>工况表</w:t>
      </w:r>
      <w:r>
        <w:tab/>
      </w:r>
      <w:r>
        <w:fldChar w:fldCharType="begin"/>
      </w:r>
      <w:r>
        <w:instrText xml:space="preserve"> PAGEREF _Toc155353443 \h </w:instrText>
      </w:r>
      <w:r>
        <w:fldChar w:fldCharType="separate"/>
      </w:r>
      <w:r>
        <w:t>15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"_Toc155353444" </w:instrText>
      </w:r>
      <w:r>
        <w:fldChar w:fldCharType="separate"/>
      </w:r>
      <w:r>
        <w:rPr>
          <w:rStyle w:val="26"/>
          <w:lang w:val="en-GB"/>
        </w:rPr>
        <w:t>5.2</w:t>
      </w:r>
      <w:r>
        <w:rPr>
          <w:rFonts w:asciiTheme="minorHAnsi" w:hAnsiTheme="minorHAnsi" w:eastAsiaTheme="minorEastAsia" w:cstheme="minorBidi"/>
          <w:szCs w:val="22"/>
          <w14:ligatures w14:val="standardContextual"/>
        </w:rPr>
        <w:tab/>
      </w:r>
      <w:r>
        <w:rPr>
          <w:rStyle w:val="26"/>
        </w:rPr>
        <w:t>冬季工况</w:t>
      </w:r>
      <w:r>
        <w:tab/>
      </w:r>
      <w:r>
        <w:fldChar w:fldCharType="begin"/>
      </w:r>
      <w:r>
        <w:instrText xml:space="preserve"> PAGEREF _Toc155353444 \h </w:instrText>
      </w:r>
      <w:r>
        <w:fldChar w:fldCharType="separate"/>
      </w:r>
      <w:r>
        <w:t>15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"_Toc155353445" </w:instrText>
      </w:r>
      <w:r>
        <w:fldChar w:fldCharType="separate"/>
      </w:r>
      <w:r>
        <w:rPr>
          <w:rStyle w:val="26"/>
          <w:lang w:val="en-GB"/>
        </w:rPr>
        <w:t>5.2.1</w:t>
      </w:r>
      <w:r>
        <w:rPr>
          <w:rFonts w:asciiTheme="minorHAnsi" w:hAnsiTheme="minorHAnsi" w:eastAsiaTheme="minorEastAsia" w:cstheme="minorBidi"/>
          <w:szCs w:val="22"/>
          <w14:ligatures w14:val="standardContextual"/>
        </w:rPr>
        <w:tab/>
      </w:r>
      <w:r>
        <w:rPr>
          <w:rStyle w:val="26"/>
        </w:rPr>
        <w:t>风速达标分析</w:t>
      </w:r>
      <w:r>
        <w:tab/>
      </w:r>
      <w:r>
        <w:fldChar w:fldCharType="begin"/>
      </w:r>
      <w:r>
        <w:instrText xml:space="preserve"> PAGEREF _Toc155353445 \h </w:instrText>
      </w:r>
      <w:r>
        <w:fldChar w:fldCharType="separate"/>
      </w:r>
      <w:r>
        <w:t>15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"_Toc155353446" </w:instrText>
      </w:r>
      <w:r>
        <w:fldChar w:fldCharType="separate"/>
      </w:r>
      <w:r>
        <w:rPr>
          <w:rStyle w:val="26"/>
          <w:lang w:val="en-GB"/>
        </w:rPr>
        <w:t>5.2.2</w:t>
      </w:r>
      <w:r>
        <w:rPr>
          <w:rFonts w:asciiTheme="minorHAnsi" w:hAnsiTheme="minorHAnsi" w:eastAsiaTheme="minorEastAsia" w:cstheme="minorBidi"/>
          <w:szCs w:val="22"/>
          <w14:ligatures w14:val="standardContextual"/>
        </w:rPr>
        <w:tab/>
      </w:r>
      <w:r>
        <w:rPr>
          <w:rStyle w:val="26"/>
        </w:rPr>
        <w:t>风速放大系数达标分析</w:t>
      </w:r>
      <w:r>
        <w:tab/>
      </w:r>
      <w:r>
        <w:fldChar w:fldCharType="begin"/>
      </w:r>
      <w:r>
        <w:instrText xml:space="preserve"> PAGEREF _Toc155353446 \h </w:instrText>
      </w:r>
      <w:r>
        <w:fldChar w:fldCharType="separate"/>
      </w:r>
      <w:r>
        <w:t>16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"_Toc155353447" </w:instrText>
      </w:r>
      <w:r>
        <w:fldChar w:fldCharType="separate"/>
      </w:r>
      <w:r>
        <w:rPr>
          <w:rStyle w:val="26"/>
          <w:lang w:val="en-GB"/>
        </w:rPr>
        <w:t>5.2.3</w:t>
      </w:r>
      <w:r>
        <w:rPr>
          <w:rFonts w:asciiTheme="minorHAnsi" w:hAnsiTheme="minorHAnsi" w:eastAsiaTheme="minorEastAsia" w:cstheme="minorBidi"/>
          <w:szCs w:val="22"/>
          <w14:ligatures w14:val="standardContextual"/>
        </w:rPr>
        <w:tab/>
      </w:r>
      <w:r>
        <w:rPr>
          <w:rStyle w:val="26"/>
        </w:rPr>
        <w:t>冬季工况风速/风速放大系数达标结果汇总</w:t>
      </w:r>
      <w:r>
        <w:tab/>
      </w:r>
      <w:r>
        <w:fldChar w:fldCharType="begin"/>
      </w:r>
      <w:r>
        <w:instrText xml:space="preserve"> PAGEREF _Toc155353447 \h </w:instrText>
      </w:r>
      <w:r>
        <w:fldChar w:fldCharType="separate"/>
      </w:r>
      <w:r>
        <w:t>17</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"_Toc155353448" </w:instrText>
      </w:r>
      <w:r>
        <w:fldChar w:fldCharType="separate"/>
      </w:r>
      <w:r>
        <w:rPr>
          <w:rStyle w:val="26"/>
          <w:lang w:val="en-GB"/>
        </w:rPr>
        <w:t>5.2.4</w:t>
      </w:r>
      <w:r>
        <w:rPr>
          <w:rFonts w:asciiTheme="minorHAnsi" w:hAnsiTheme="minorHAnsi" w:eastAsiaTheme="minorEastAsia" w:cstheme="minorBidi"/>
          <w:szCs w:val="22"/>
          <w14:ligatures w14:val="standardContextual"/>
        </w:rPr>
        <w:tab/>
      </w:r>
      <w:r>
        <w:rPr>
          <w:rStyle w:val="26"/>
        </w:rPr>
        <w:t>建筑迎风面和背风面风压分析</w:t>
      </w:r>
      <w:r>
        <w:tab/>
      </w:r>
      <w:r>
        <w:fldChar w:fldCharType="begin"/>
      </w:r>
      <w:r>
        <w:instrText xml:space="preserve"> PAGEREF _Toc155353448 \h </w:instrText>
      </w:r>
      <w:r>
        <w:fldChar w:fldCharType="separate"/>
      </w:r>
      <w:r>
        <w:t>17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"_Toc155353449" </w:instrText>
      </w:r>
      <w:r>
        <w:fldChar w:fldCharType="separate"/>
      </w:r>
      <w:r>
        <w:rPr>
          <w:rStyle w:val="26"/>
          <w:lang w:val="en-GB"/>
        </w:rPr>
        <w:t>5.3</w:t>
      </w:r>
      <w:r>
        <w:rPr>
          <w:rFonts w:asciiTheme="minorHAnsi" w:hAnsiTheme="minorHAnsi" w:eastAsiaTheme="minorEastAsia" w:cstheme="minorBidi"/>
          <w:szCs w:val="22"/>
          <w14:ligatures w14:val="standardContextual"/>
        </w:rPr>
        <w:tab/>
      </w:r>
      <w:r>
        <w:rPr>
          <w:rStyle w:val="26"/>
        </w:rPr>
        <w:t>夏季工况</w:t>
      </w:r>
      <w:r>
        <w:tab/>
      </w:r>
      <w:r>
        <w:fldChar w:fldCharType="begin"/>
      </w:r>
      <w:r>
        <w:instrText xml:space="preserve"> PAGEREF _Toc155353449 \h </w:instrText>
      </w:r>
      <w:r>
        <w:fldChar w:fldCharType="separate"/>
      </w:r>
      <w:r>
        <w:t>19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"_Toc155353450" </w:instrText>
      </w:r>
      <w:r>
        <w:fldChar w:fldCharType="separate"/>
      </w:r>
      <w:r>
        <w:rPr>
          <w:rStyle w:val="26"/>
          <w:lang w:val="en-GB"/>
        </w:rPr>
        <w:t>5.3.1</w:t>
      </w:r>
      <w:r>
        <w:rPr>
          <w:rFonts w:asciiTheme="minorHAnsi" w:hAnsiTheme="minorHAnsi" w:eastAsiaTheme="minorEastAsia" w:cstheme="minorBidi"/>
          <w:szCs w:val="22"/>
          <w14:ligatures w14:val="standardContextual"/>
        </w:rPr>
        <w:tab/>
      </w:r>
      <w:r>
        <w:rPr>
          <w:rStyle w:val="26"/>
        </w:rPr>
        <w:t>无风区计算分析</w:t>
      </w:r>
      <w:r>
        <w:tab/>
      </w:r>
      <w:r>
        <w:fldChar w:fldCharType="begin"/>
      </w:r>
      <w:r>
        <w:instrText xml:space="preserve"> PAGEREF _Toc155353450 \h </w:instrText>
      </w:r>
      <w:r>
        <w:fldChar w:fldCharType="separate"/>
      </w:r>
      <w:r>
        <w:t>19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"_Toc155353451" </w:instrText>
      </w:r>
      <w:r>
        <w:fldChar w:fldCharType="separate"/>
      </w:r>
      <w:r>
        <w:rPr>
          <w:rStyle w:val="26"/>
          <w:lang w:val="en-GB"/>
        </w:rPr>
        <w:t>5.3.2</w:t>
      </w:r>
      <w:r>
        <w:rPr>
          <w:rFonts w:asciiTheme="minorHAnsi" w:hAnsiTheme="minorHAnsi" w:eastAsiaTheme="minorEastAsia" w:cstheme="minorBidi"/>
          <w:szCs w:val="22"/>
          <w14:ligatures w14:val="standardContextual"/>
        </w:rPr>
        <w:tab/>
      </w:r>
      <w:r>
        <w:rPr>
          <w:rStyle w:val="26"/>
        </w:rPr>
        <w:t>旋涡区分析</w:t>
      </w:r>
      <w:r>
        <w:tab/>
      </w:r>
      <w:r>
        <w:fldChar w:fldCharType="begin"/>
      </w:r>
      <w:r>
        <w:instrText xml:space="preserve"> PAGEREF _Toc155353451 \h </w:instrText>
      </w:r>
      <w:r>
        <w:fldChar w:fldCharType="separate"/>
      </w:r>
      <w:r>
        <w:t>20</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"_Toc155353452" </w:instrText>
      </w:r>
      <w:r>
        <w:fldChar w:fldCharType="separate"/>
      </w:r>
      <w:r>
        <w:rPr>
          <w:rStyle w:val="26"/>
          <w:lang w:val="en-GB"/>
        </w:rPr>
        <w:t>5.3.3</w:t>
      </w:r>
      <w:r>
        <w:rPr>
          <w:rFonts w:asciiTheme="minorHAnsi" w:hAnsiTheme="minorHAnsi" w:eastAsiaTheme="minorEastAsia" w:cstheme="minorBidi"/>
          <w:szCs w:val="22"/>
          <w14:ligatures w14:val="standardContextual"/>
        </w:rPr>
        <w:tab/>
      </w:r>
      <w:r>
        <w:rPr>
          <w:rStyle w:val="26"/>
        </w:rPr>
        <w:t>旋涡区/无风区达标结果汇总</w:t>
      </w:r>
      <w:r>
        <w:tab/>
      </w:r>
      <w:r>
        <w:fldChar w:fldCharType="begin"/>
      </w:r>
      <w:r>
        <w:instrText xml:space="preserve"> PAGEREF _Toc155353452 \h </w:instrText>
      </w:r>
      <w:r>
        <w:fldChar w:fldCharType="separate"/>
      </w:r>
      <w:r>
        <w:t>20</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"_Toc155353453" </w:instrText>
      </w:r>
      <w:r>
        <w:fldChar w:fldCharType="separate"/>
      </w:r>
      <w:r>
        <w:rPr>
          <w:rStyle w:val="26"/>
          <w:lang w:val="en-GB"/>
        </w:rPr>
        <w:t>5.3.4</w:t>
      </w:r>
      <w:r>
        <w:rPr>
          <w:rFonts w:asciiTheme="minorHAnsi" w:hAnsiTheme="minorHAnsi" w:eastAsiaTheme="minorEastAsia" w:cstheme="minorBidi"/>
          <w:szCs w:val="22"/>
          <w14:ligatures w14:val="standardContextual"/>
        </w:rPr>
        <w:tab/>
      </w:r>
      <w:r>
        <w:rPr>
          <w:rStyle w:val="26"/>
        </w:rPr>
        <w:t>外窗内外表面风压差达标分析</w:t>
      </w:r>
      <w:r>
        <w:tab/>
      </w:r>
      <w:r>
        <w:fldChar w:fldCharType="begin"/>
      </w:r>
      <w:r>
        <w:instrText xml:space="preserve"> PAGEREF _Toc155353453 \h </w:instrText>
      </w:r>
      <w:r>
        <w:fldChar w:fldCharType="separate"/>
      </w:r>
      <w:r>
        <w:t>21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"_Toc155353454" </w:instrText>
      </w:r>
      <w:r>
        <w:fldChar w:fldCharType="separate"/>
      </w:r>
      <w:r>
        <w:rPr>
          <w:rStyle w:val="26"/>
          <w:lang w:val="en-GB"/>
        </w:rPr>
        <w:t>5.4</w:t>
      </w:r>
      <w:r>
        <w:rPr>
          <w:rFonts w:asciiTheme="minorHAnsi" w:hAnsiTheme="minorHAnsi" w:eastAsiaTheme="minorEastAsia" w:cstheme="minorBidi"/>
          <w:szCs w:val="22"/>
          <w14:ligatures w14:val="standardContextual"/>
        </w:rPr>
        <w:tab/>
      </w:r>
      <w:r>
        <w:rPr>
          <w:rStyle w:val="26"/>
        </w:rPr>
        <w:t>过渡季工况</w:t>
      </w:r>
      <w:r>
        <w:tab/>
      </w:r>
      <w:r>
        <w:fldChar w:fldCharType="begin"/>
      </w:r>
      <w:r>
        <w:instrText xml:space="preserve"> PAGEREF _Toc155353454 \h </w:instrText>
      </w:r>
      <w:r>
        <w:fldChar w:fldCharType="separate"/>
      </w:r>
      <w:r>
        <w:t>22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"_Toc155353455" </w:instrText>
      </w:r>
      <w:r>
        <w:fldChar w:fldCharType="separate"/>
      </w:r>
      <w:r>
        <w:rPr>
          <w:rStyle w:val="26"/>
          <w:lang w:val="en-GB"/>
        </w:rPr>
        <w:t>5.4.1</w:t>
      </w:r>
      <w:r>
        <w:rPr>
          <w:rFonts w:asciiTheme="minorHAnsi" w:hAnsiTheme="minorHAnsi" w:eastAsiaTheme="minorEastAsia" w:cstheme="minorBidi"/>
          <w:szCs w:val="22"/>
          <w14:ligatures w14:val="standardContextual"/>
        </w:rPr>
        <w:tab/>
      </w:r>
      <w:r>
        <w:rPr>
          <w:rStyle w:val="26"/>
        </w:rPr>
        <w:t>无风区计算分析</w:t>
      </w:r>
      <w:r>
        <w:tab/>
      </w:r>
      <w:r>
        <w:fldChar w:fldCharType="begin"/>
      </w:r>
      <w:r>
        <w:instrText xml:space="preserve"> PAGEREF _Toc155353455 \h </w:instrText>
      </w:r>
      <w:r>
        <w:fldChar w:fldCharType="separate"/>
      </w:r>
      <w:r>
        <w:t>23</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"_Toc155353456" </w:instrText>
      </w:r>
      <w:r>
        <w:fldChar w:fldCharType="separate"/>
      </w:r>
      <w:r>
        <w:rPr>
          <w:rStyle w:val="26"/>
          <w:lang w:val="en-GB"/>
        </w:rPr>
        <w:t>5.4.2</w:t>
      </w:r>
      <w:r>
        <w:rPr>
          <w:rFonts w:asciiTheme="minorHAnsi" w:hAnsiTheme="minorHAnsi" w:eastAsiaTheme="minorEastAsia" w:cstheme="minorBidi"/>
          <w:szCs w:val="22"/>
          <w14:ligatures w14:val="standardContextual"/>
        </w:rPr>
        <w:tab/>
      </w:r>
      <w:r>
        <w:rPr>
          <w:rStyle w:val="26"/>
        </w:rPr>
        <w:t>旋涡区分析</w:t>
      </w:r>
      <w:r>
        <w:tab/>
      </w:r>
      <w:r>
        <w:fldChar w:fldCharType="begin"/>
      </w:r>
      <w:r>
        <w:instrText xml:space="preserve"> PAGEREF _Toc155353456 \h </w:instrText>
      </w:r>
      <w:r>
        <w:fldChar w:fldCharType="separate"/>
      </w:r>
      <w:r>
        <w:t>23</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"_Toc155353457" </w:instrText>
      </w:r>
      <w:r>
        <w:fldChar w:fldCharType="separate"/>
      </w:r>
      <w:r>
        <w:rPr>
          <w:rStyle w:val="26"/>
          <w:lang w:val="en-GB"/>
        </w:rPr>
        <w:t>5.4.3</w:t>
      </w:r>
      <w:r>
        <w:rPr>
          <w:rFonts w:asciiTheme="minorHAnsi" w:hAnsiTheme="minorHAnsi" w:eastAsiaTheme="minorEastAsia" w:cstheme="minorBidi"/>
          <w:szCs w:val="22"/>
          <w14:ligatures w14:val="standardContextual"/>
        </w:rPr>
        <w:tab/>
      </w:r>
      <w:r>
        <w:rPr>
          <w:rStyle w:val="26"/>
        </w:rPr>
        <w:t>旋涡区/无风区达标结果汇总</w:t>
      </w:r>
      <w:r>
        <w:tab/>
      </w:r>
      <w:r>
        <w:fldChar w:fldCharType="begin"/>
      </w:r>
      <w:r>
        <w:instrText xml:space="preserve"> PAGEREF _Toc155353457 \h </w:instrText>
      </w:r>
      <w:r>
        <w:fldChar w:fldCharType="separate"/>
      </w:r>
      <w:r>
        <w:t>24</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"_Toc155353458" </w:instrText>
      </w:r>
      <w:r>
        <w:fldChar w:fldCharType="separate"/>
      </w:r>
      <w:r>
        <w:rPr>
          <w:rStyle w:val="26"/>
          <w:lang w:val="en-GB"/>
        </w:rPr>
        <w:t>5.4.4</w:t>
      </w:r>
      <w:r>
        <w:rPr>
          <w:rFonts w:asciiTheme="minorHAnsi" w:hAnsiTheme="minorHAnsi" w:eastAsiaTheme="minorEastAsia" w:cstheme="minorBidi"/>
          <w:szCs w:val="22"/>
          <w14:ligatures w14:val="standardContextual"/>
        </w:rPr>
        <w:tab/>
      </w:r>
      <w:r>
        <w:rPr>
          <w:rStyle w:val="26"/>
        </w:rPr>
        <w:t>外窗内外表面风压差达标分析</w:t>
      </w:r>
      <w:r>
        <w:tab/>
      </w:r>
      <w:r>
        <w:fldChar w:fldCharType="begin"/>
      </w:r>
      <w:r>
        <w:instrText xml:space="preserve"> PAGEREF _Toc155353458 \h </w:instrText>
      </w:r>
      <w:r>
        <w:fldChar w:fldCharType="separate"/>
      </w:r>
      <w:r>
        <w:t>24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"_Toc155353459" </w:instrText>
      </w:r>
      <w:r>
        <w:fldChar w:fldCharType="separate"/>
      </w:r>
      <w:r>
        <w:rPr>
          <w:rStyle w:val="26"/>
          <w:lang w:val="en-GB"/>
        </w:rPr>
        <w:t>5.5</w:t>
      </w:r>
      <w:r>
        <w:rPr>
          <w:rFonts w:asciiTheme="minorHAnsi" w:hAnsiTheme="minorHAnsi" w:eastAsiaTheme="minorEastAsia" w:cstheme="minorBidi"/>
          <w:szCs w:val="22"/>
          <w14:ligatures w14:val="standardContextual"/>
        </w:rPr>
        <w:tab/>
      </w:r>
      <w:r>
        <w:rPr>
          <w:rStyle w:val="26"/>
        </w:rPr>
        <w:t>结论</w:t>
      </w:r>
      <w:r>
        <w:tab/>
      </w:r>
      <w:r>
        <w:fldChar w:fldCharType="begin"/>
      </w:r>
      <w:r>
        <w:instrText xml:space="preserve"> PAGEREF _Toc155353459 \h </w:instrText>
      </w:r>
      <w:r>
        <w:fldChar w:fldCharType="separate"/>
      </w:r>
      <w:r>
        <w:t>25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"_Toc155353460" </w:instrText>
      </w:r>
      <w:r>
        <w:fldChar w:fldCharType="separate"/>
      </w:r>
      <w:r>
        <w:rPr>
          <w:rStyle w:val="26"/>
          <w:lang w:val="en-GB"/>
        </w:rPr>
        <w:t>5.5.1</w:t>
      </w:r>
      <w:r>
        <w:rPr>
          <w:rFonts w:asciiTheme="minorHAnsi" w:hAnsiTheme="minorHAnsi" w:eastAsiaTheme="minorEastAsia" w:cstheme="minorBidi"/>
          <w:szCs w:val="22"/>
          <w14:ligatures w14:val="standardContextual"/>
        </w:rPr>
        <w:tab/>
      </w:r>
      <w:r>
        <w:rPr>
          <w:rStyle w:val="26"/>
        </w:rPr>
        <w:t>冬季工况达标判断</w:t>
      </w:r>
      <w:r>
        <w:tab/>
      </w:r>
      <w:r>
        <w:fldChar w:fldCharType="begin"/>
      </w:r>
      <w:r>
        <w:instrText xml:space="preserve"> PAGEREF _Toc155353460 \h </w:instrText>
      </w:r>
      <w:r>
        <w:fldChar w:fldCharType="separate"/>
      </w:r>
      <w:r>
        <w:t>25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"_Toc155353461" </w:instrText>
      </w:r>
      <w:r>
        <w:fldChar w:fldCharType="separate"/>
      </w:r>
      <w:r>
        <w:rPr>
          <w:rStyle w:val="26"/>
          <w:lang w:val="en-GB"/>
        </w:rPr>
        <w:t>5.5.2</w:t>
      </w:r>
      <w:r>
        <w:rPr>
          <w:rFonts w:asciiTheme="minorHAnsi" w:hAnsiTheme="minorHAnsi" w:eastAsiaTheme="minorEastAsia" w:cstheme="minorBidi"/>
          <w:szCs w:val="22"/>
          <w14:ligatures w14:val="standardContextual"/>
        </w:rPr>
        <w:tab/>
      </w:r>
      <w:r>
        <w:rPr>
          <w:rStyle w:val="26"/>
        </w:rPr>
        <w:t>过渡季、夏季工况达标判断</w:t>
      </w:r>
      <w:r>
        <w:tab/>
      </w:r>
      <w:r>
        <w:fldChar w:fldCharType="begin"/>
      </w:r>
      <w:r>
        <w:instrText xml:space="preserve"> PAGEREF _Toc155353461 \h </w:instrText>
      </w:r>
      <w:r>
        <w:fldChar w:fldCharType="separate"/>
      </w:r>
      <w:r>
        <w:t>26</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452108759"/>
      <w:bookmarkStart w:id="9" w:name="_Toc155353425"/>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bookmarkStart w:id="12" w:name="_Toc155353426"/>
      <w:r>
        <w:rPr>
          <w:rFonts w:hint="eastAsia"/>
        </w:rPr>
        <w:t>总</w:t>
      </w:r>
      <w:r>
        <w:t>平面图</w:t>
      </w:r>
      <w:bookmarkEnd w:id="11"/>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3" w:name="总平面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3"/>
    </w:tbl>
    <w:p>
      <w:pPr>
        <w:pStyle w:val="3"/>
        <w:ind w:firstLine="0" w:firstLineChars="0"/>
        <w:jc w:val="center"/>
        <w:rPr>
          <w:lang w:val="en-US"/>
        </w:rPr>
      </w:pPr>
      <w:r>
        <w:rPr>
          <w:rFonts w:hint="eastAsia"/>
          <w:lang w:val="en-US"/>
        </w:rPr>
        <w:t xml:space="preserve"> </w:t>
      </w:r>
      <w:bookmarkStart w:id="14" w:name="总平面图"/>
      <w:bookmarkEnd w:id="14"/>
      <w:r>
        <w:drawing>
          <wp:inline distT="0" distB="0" distL="0" distR="0">
            <wp:extent cx="5667375" cy="3419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341947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155353427"/>
      <w:bookmarkStart w:id="16" w:name="_Toc452108761"/>
      <w:r>
        <w:rPr>
          <w:rFonts w:hint="eastAsia"/>
        </w:rPr>
        <w:t>三</w:t>
      </w:r>
      <w:r>
        <w:t>维视图</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7" w:name="三维视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7"/>
    </w:tbl>
    <w:p>
      <w:pPr>
        <w:pStyle w:val="3"/>
        <w:ind w:firstLine="0" w:firstLineChars="0"/>
        <w:jc w:val="center"/>
        <w:rPr>
          <w:lang w:val="en-US"/>
        </w:rPr>
      </w:pPr>
      <w:r>
        <w:rPr>
          <w:rFonts w:hint="eastAsia"/>
          <w:lang w:val="en-US"/>
        </w:rPr>
        <w:t xml:space="preserve"> </w:t>
      </w:r>
      <w:bookmarkStart w:id="18" w:name="三维视图"/>
      <w:bookmarkEnd w:id="18"/>
      <w:r>
        <w:drawing>
          <wp:inline distT="0" distB="0" distL="0" distR="0">
            <wp:extent cx="5667375" cy="3429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429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9" w:name="TitleFormat"/>
      <w:bookmarkStart w:id="20" w:name="_Toc452108762"/>
      <w:bookmarkStart w:id="21" w:name="_Toc155353428"/>
      <w:r>
        <w:rPr>
          <w:rFonts w:hint="eastAsia"/>
        </w:rPr>
        <w:t>计算</w:t>
      </w:r>
      <w:r>
        <w:t>依据</w:t>
      </w:r>
      <w:bookmarkEnd w:id="19"/>
      <w:bookmarkEnd w:id="20"/>
      <w:bookmarkEnd w:id="21"/>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2" w:name="参考标准名称1"/>
      <w:r>
        <w:rPr>
          <w:rFonts w:hint="eastAsia"/>
          <w:lang w:val="en-US"/>
        </w:rPr>
        <w:t>《绿色建筑评价标准》（京津冀）DB11/T 825-2021</w:t>
      </w:r>
      <w:bookmarkEnd w:id="22"/>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3" w:name="_Toc452108763"/>
      <w:bookmarkStart w:id="24" w:name="_Toc155353429"/>
      <w:r>
        <w:rPr>
          <w:rFonts w:hint="eastAsia"/>
        </w:rPr>
        <w:t>参考</w:t>
      </w:r>
      <w:r>
        <w:t>标准</w:t>
      </w:r>
      <w:bookmarkEnd w:id="23"/>
      <w:bookmarkEnd w:id="24"/>
    </w:p>
    <w:p>
      <w:pPr>
        <w:pStyle w:val="3"/>
        <w:ind w:firstLine="420"/>
        <w:rPr>
          <w:lang w:val="en-US"/>
        </w:rPr>
      </w:pPr>
      <w:r>
        <w:rPr>
          <w:rFonts w:hint="eastAsia"/>
          <w:lang w:val="en-US"/>
        </w:rPr>
        <w:t>室外风环境评价依据为</w:t>
      </w:r>
      <w:bookmarkStart w:id="25" w:name="参考标准名称2"/>
      <w:r>
        <w:rPr>
          <w:rFonts w:hint="eastAsia"/>
          <w:lang w:val="en-US"/>
        </w:rPr>
        <w:t>《绿色建筑评价标准》（京津冀）DB11/T 825-2021</w:t>
      </w:r>
      <w:bookmarkEnd w:id="25"/>
      <w:r>
        <w:rPr>
          <w:rFonts w:hint="eastAsia"/>
          <w:lang w:val="en-US"/>
        </w:rPr>
        <w:t>中有关室外风环境的条目要求。具体要求如下：</w:t>
      </w:r>
    </w:p>
    <w:p>
      <w:pPr>
        <w:pStyle w:val="3"/>
        <w:ind w:firstLine="420"/>
        <w:rPr>
          <w:lang w:val="en-US"/>
        </w:rPr>
      </w:pPr>
      <w:bookmarkStart w:id="26" w:name="_Toc451698935"/>
      <w:bookmarkStart w:id="27" w:name="_Toc452108764"/>
      <w:bookmarkStart w:id="28"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29" w:name="参考标准冬季风速得分"/>
      <w:r>
        <w:rPr>
          <w:lang w:val="en-US"/>
        </w:rPr>
        <w:t>3</w:t>
      </w:r>
      <w:bookmarkEnd w:id="29"/>
      <w:r>
        <w:rPr>
          <w:rFonts w:hint="eastAsia"/>
          <w:lang w:val="en-US"/>
        </w:rPr>
        <w:t>分；除迎风第一排建筑外，建筑迎风面与背风面表面风压差不超过5Pa，得</w:t>
      </w:r>
      <w:bookmarkStart w:id="30" w:name="参考标准冬季风压得分"/>
      <w:r>
        <w:rPr>
          <w:lang w:val="en-US"/>
        </w:rPr>
        <w:t>2</w:t>
      </w:r>
      <w:bookmarkEnd w:id="30"/>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1" w:name="参考标准夏季风速得分"/>
      <w:r>
        <w:rPr>
          <w:lang w:val="en-US"/>
        </w:rPr>
        <w:t>3</w:t>
      </w:r>
      <w:bookmarkEnd w:id="31"/>
      <w:r>
        <w:rPr>
          <w:rFonts w:hint="eastAsia"/>
          <w:lang w:val="en-US"/>
        </w:rPr>
        <w:t>分；50%以上可开启外窗室内外表面的风压差大于0.5Pa，得</w:t>
      </w:r>
      <w:bookmarkStart w:id="32" w:name="参考标准夏季风压得分"/>
      <w:r>
        <w:rPr>
          <w:lang w:val="en-US"/>
        </w:rPr>
        <w:t>2</w:t>
      </w:r>
      <w:bookmarkEnd w:id="32"/>
      <w:r>
        <w:rPr>
          <w:rFonts w:hint="eastAsia"/>
          <w:lang w:val="en-US"/>
        </w:rPr>
        <w:t>分。</w:t>
      </w:r>
    </w:p>
    <w:p>
      <w:pPr>
        <w:pStyle w:val="2"/>
      </w:pPr>
      <w:bookmarkStart w:id="33" w:name="_Toc155353430"/>
      <w:r>
        <w:rPr>
          <w:rFonts w:hint="eastAsia"/>
        </w:rPr>
        <w:t>计算原理</w:t>
      </w:r>
      <w:bookmarkEnd w:id="26"/>
      <w:bookmarkEnd w:id="27"/>
      <w:bookmarkEnd w:id="33"/>
    </w:p>
    <w:p>
      <w:pPr>
        <w:pStyle w:val="4"/>
        <w:numPr>
          <w:ilvl w:val="1"/>
          <w:numId w:val="3"/>
        </w:numPr>
      </w:pPr>
      <w:bookmarkStart w:id="34" w:name="_Toc509844740"/>
      <w:bookmarkStart w:id="35" w:name="_Toc155353431"/>
      <w:bookmarkStart w:id="36" w:name="_Toc451698937"/>
      <w:bookmarkStart w:id="37" w:name="_Toc452108765"/>
      <w:r>
        <w:rPr>
          <w:rFonts w:hint="eastAsia"/>
        </w:rPr>
        <w:t>风场计算域</w:t>
      </w:r>
      <w:bookmarkEnd w:id="34"/>
      <w:bookmarkEnd w:id="35"/>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8" w:name="_Toc155353432"/>
      <w:r>
        <w:rPr>
          <w:rFonts w:hint="eastAsia"/>
        </w:rPr>
        <w:t>冬季工况风场计算域</w:t>
      </w:r>
      <w:bookmarkEnd w:id="38"/>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48</w:t>
            </w:r>
          </w:p>
        </w:tc>
      </w:tr>
    </w:tbl>
    <w:p>
      <w:pPr>
        <w:pStyle w:val="3"/>
        <w:ind w:firstLine="0" w:firstLineChars="0"/>
        <w:jc w:val="center"/>
        <w:rPr>
          <w:lang w:val="en-US"/>
        </w:rPr>
      </w:pPr>
      <w:r>
        <w:drawing>
          <wp:inline distT="0" distB="0" distL="0" distR="0">
            <wp:extent cx="5667375" cy="30670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30670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5"/>
        <w:numPr>
          <w:ilvl w:val="2"/>
          <w:numId w:val="3"/>
        </w:numPr>
      </w:pPr>
      <w:bookmarkStart w:id="39" w:name="_Toc155353433"/>
      <w:r>
        <w:rPr>
          <w:rFonts w:hint="eastAsia"/>
        </w:rPr>
        <w:t>夏季工况风场计算域</w:t>
      </w:r>
      <w:bookmarkEnd w:id="39"/>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69</w:t>
            </w:r>
          </w:p>
        </w:tc>
      </w:tr>
    </w:tbl>
    <w:p>
      <w:pPr>
        <w:pStyle w:val="3"/>
        <w:ind w:firstLine="0" w:firstLineChars="0"/>
        <w:jc w:val="center"/>
        <w:rPr>
          <w:lang w:val="en-US"/>
        </w:rPr>
      </w:pPr>
      <w:r>
        <w:drawing>
          <wp:inline distT="0" distB="0" distL="0" distR="0">
            <wp:extent cx="5667375" cy="30670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30670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5"/>
        <w:numPr>
          <w:ilvl w:val="2"/>
          <w:numId w:val="3"/>
        </w:numPr>
      </w:pPr>
      <w:bookmarkStart w:id="40" w:name="_Toc155353434"/>
      <w:r>
        <w:rPr>
          <w:rFonts w:hint="eastAsia"/>
        </w:rPr>
        <w:t>过渡季工况风场计算域</w:t>
      </w:r>
      <w:bookmarkEnd w:id="4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1" w:name="冬季风场X尺寸"/>
            <w:r>
              <w:t>238</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2" w:name="冬季风场Y尺寸"/>
            <w:r>
              <w:t>111</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Z尺寸"/>
            <w:r>
              <w:t>69</w:t>
            </w:r>
            <w:bookmarkEnd w:id="43"/>
          </w:p>
        </w:tc>
      </w:tr>
    </w:tbl>
    <w:p>
      <w:pPr>
        <w:pStyle w:val="3"/>
        <w:ind w:firstLine="0" w:firstLineChars="0"/>
        <w:jc w:val="center"/>
        <w:rPr>
          <w:lang w:val="en-US"/>
        </w:rPr>
      </w:pPr>
      <w:bookmarkStart w:id="44" w:name="冬季工况风场计算域图示"/>
      <w:bookmarkEnd w:id="44"/>
      <w:r>
        <w:drawing>
          <wp:inline distT="0" distB="0" distL="0" distR="0">
            <wp:extent cx="5667375" cy="30670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3"/>
                    <a:stretch>
                      <a:fillRect/>
                    </a:stretch>
                  </pic:blipFill>
                  <pic:spPr>
                    <a:xfrm>
                      <a:off x="0" y="0"/>
                      <a:ext cx="5667375" cy="30670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5" w:name="计算域"/>
      <w:bookmarkEnd w:id="45"/>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6" w:name="_Toc509844741"/>
      <w:bookmarkStart w:id="47" w:name="_Toc155353435"/>
      <w:r>
        <w:rPr>
          <w:rFonts w:hint="eastAsia"/>
        </w:rPr>
        <w:t>网格划分</w:t>
      </w:r>
      <w:bookmarkEnd w:id="46"/>
      <w:bookmarkEnd w:id="47"/>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8" w:name="OLE_LINK276"/>
      <w:bookmarkStart w:id="49" w:name="OLE_LINK277"/>
      <w:r>
        <w:rPr>
          <w:rFonts w:hint="eastAsia"/>
        </w:rPr>
        <w:t>1）普通网格：指除靠近地面和建筑以外的网格，通常不需要特别加密处理</w:t>
      </w:r>
    </w:p>
    <w:p>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8"/>
      <w:bookmarkEnd w:id="49"/>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22001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0" distR="0">
            <wp:extent cx="5667375" cy="33051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4"/>
                    <a:stretch>
                      <a:fillRect/>
                    </a:stretch>
                  </pic:blipFill>
                  <pic:spPr>
                    <a:xfrm>
                      <a:off x="0" y="0"/>
                      <a:ext cx="5667375" cy="330517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网格图-冬季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48290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jc w:val="center"/>
      </w:pPr>
      <w:r>
        <w:drawing>
          <wp:inline distT="0" distB="0" distL="0" distR="0">
            <wp:extent cx="5667375" cy="33051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5"/>
                    <a:stretch>
                      <a:fillRect/>
                    </a:stretch>
                  </pic:blipFill>
                  <pic:spPr>
                    <a:xfrm>
                      <a:off x="0" y="0"/>
                      <a:ext cx="5667375" cy="330517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2</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网格图-夏季</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1" w:name="冬季网格总数"/>
            <w:r>
              <w:t>48290</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2" w:name="冬季分弧精度"/>
            <w:r>
              <w:t>0.24</w:t>
            </w:r>
            <w:bookmarkEnd w:id="5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3" w:name="冬季初始网格"/>
            <w:r>
              <w:t>8.0</w:t>
            </w:r>
            <w:bookmarkEnd w:id="5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4" w:name="冬季最小细分级数"/>
            <w:r>
              <w:t>1</w:t>
            </w:r>
            <w:bookmarkEnd w:id="5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最大细分级数"/>
            <w:r>
              <w:t>2</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远场细分级数"/>
            <w:r>
              <w:t>1</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近场细分级数"/>
            <w:r>
              <w:t>2</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地面附面层数"/>
            <w:r>
              <w:t>2</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建筑附面层数"/>
            <w:r>
              <w:t>0</w:t>
            </w:r>
            <w:bookmarkEnd w:id="59"/>
          </w:p>
        </w:tc>
      </w:tr>
    </w:tbl>
    <w:p>
      <w:pPr>
        <w:rPr>
          <w:szCs w:val="21"/>
          <w:lang w:val="en-US"/>
        </w:rPr>
      </w:pPr>
    </w:p>
    <w:p>
      <w:pPr>
        <w:jc w:val="center"/>
      </w:pPr>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3305175"/>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3</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w:t>
      </w:r>
      <w:bookmarkStart w:id="60" w:name="季节"/>
      <w:r>
        <w:rPr>
          <w:rFonts w:hint="eastAsia" w:ascii="黑体" w:hAnsi="黑体" w:eastAsia="黑体"/>
          <w:sz w:val="20"/>
        </w:rPr>
        <w:t>过渡季</w:t>
      </w:r>
      <w:bookmarkEnd w:id="60"/>
    </w:p>
    <w:p>
      <w:pPr>
        <w:pStyle w:val="3"/>
        <w:ind w:firstLine="630" w:firstLineChars="300"/>
        <w:rPr>
          <w:rFonts w:ascii="黑体" w:hAnsi="黑体" w:eastAsia="黑体"/>
          <w:szCs w:val="20"/>
          <w:lang w:val="en-US"/>
        </w:rPr>
      </w:pPr>
      <w:bookmarkStart w:id="61" w:name="网格划分信息"/>
      <w:bookmarkEnd w:id="61"/>
      <w:r>
        <w:rPr>
          <w:rFonts w:hint="eastAsia" w:ascii="黑体" w:hAnsi="黑体" w:eastAsia="黑体"/>
          <w:szCs w:val="20"/>
          <w:lang w:val="en-US"/>
        </w:rPr>
        <w:t>注：前述计算域随风向不同，所以相同的网格方案会产生不同的网格数量。</w:t>
      </w:r>
    </w:p>
    <w:p>
      <w:pPr>
        <w:pStyle w:val="3"/>
        <w:ind w:firstLine="0" w:firstLineChars="0"/>
        <w:rPr>
          <w:rFonts w:ascii="黑体" w:hAnsi="黑体" w:eastAsia="黑体"/>
          <w:szCs w:val="20"/>
          <w:lang w:val="en-US"/>
        </w:rPr>
      </w:pPr>
      <w:bookmarkStart w:id="62" w:name="网格图"/>
      <w:bookmarkEnd w:id="62"/>
    </w:p>
    <w:p>
      <w:pPr>
        <w:pStyle w:val="4"/>
        <w:numPr>
          <w:ilvl w:val="1"/>
          <w:numId w:val="3"/>
        </w:numPr>
      </w:pPr>
      <w:bookmarkStart w:id="63" w:name="_Toc155353436"/>
      <w:bookmarkStart w:id="64" w:name="_Toc509844742"/>
      <w:r>
        <w:rPr>
          <w:rFonts w:hint="eastAsia"/>
        </w:rPr>
        <w:t>边界条件</w:t>
      </w:r>
      <w:bookmarkEnd w:id="63"/>
      <w:bookmarkEnd w:id="64"/>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5" w:name="_Toc155353437"/>
      <w:bookmarkStart w:id="66" w:name="_Toc509844743"/>
      <w:r>
        <w:rPr>
          <w:rFonts w:hint="eastAsia"/>
        </w:rPr>
        <w:t>入口与出口边界条件</w:t>
      </w:r>
      <w:bookmarkEnd w:id="65"/>
      <w:bookmarkEnd w:id="66"/>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pt;width:71.2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85pt;width: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85pt;width:14.2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7" w:name="地面粗糙度指数2"/>
      <w:r>
        <w:rPr>
          <w:rFonts w:hint="eastAsia"/>
          <w:lang w:val="en-US"/>
        </w:rPr>
        <w:t>0.28</w:t>
      </w:r>
      <w:bookmarkEnd w:id="67"/>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68" w:name="_Toc509844744"/>
      <w:bookmarkStart w:id="69" w:name="_Toc155353438"/>
      <w:r>
        <w:rPr>
          <w:rFonts w:hint="eastAsia"/>
        </w:rPr>
        <w:t>壁面边界条件</w:t>
      </w:r>
      <w:bookmarkEnd w:id="68"/>
      <w:bookmarkEnd w:id="69"/>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0" w:name="_Toc155353439"/>
      <w:r>
        <w:rPr>
          <w:rFonts w:hint="eastAsia"/>
        </w:rPr>
        <w:t>湍流模型</w:t>
      </w:r>
      <w:bookmarkEnd w:id="36"/>
      <w:bookmarkEnd w:id="37"/>
      <w:bookmarkEnd w:id="70"/>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1" w:name="_Toc451698939"/>
      <w:bookmarkStart w:id="72" w:name="_Toc452108767"/>
      <w:bookmarkStart w:id="73" w:name="_Toc155353440"/>
      <w:r>
        <w:rPr>
          <w:rFonts w:hint="eastAsia"/>
        </w:rPr>
        <w:t>求解计算</w:t>
      </w:r>
      <w:bookmarkEnd w:id="71"/>
      <w:bookmarkEnd w:id="72"/>
      <w:bookmarkEnd w:id="73"/>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4"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4"/>
      <w:r>
        <w:rPr>
          <w:rFonts w:hint="eastAsia" w:ascii="黑体" w:hAnsi="黑体" w:eastAsia="黑体"/>
          <w:sz w:val="20"/>
          <w:szCs w:val="20"/>
        </w:rPr>
        <w:t xml:space="preserve"> </w:t>
      </w:r>
      <w:bookmarkStart w:id="75" w:name="_Ref225175618"/>
      <w:r>
        <w:rPr>
          <w:rFonts w:hint="eastAsia" w:ascii="黑体" w:hAnsi="黑体" w:eastAsia="黑体"/>
          <w:sz w:val="20"/>
          <w:szCs w:val="20"/>
        </w:rPr>
        <w:t>计算流体力学的控制方程</w:t>
      </w:r>
      <w:bookmarkEnd w:id="75"/>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8"/>
    </w:p>
    <w:p>
      <w:pPr>
        <w:pStyle w:val="4"/>
      </w:pPr>
      <w:bookmarkStart w:id="76" w:name="_Toc509844747"/>
      <w:bookmarkStart w:id="77" w:name="_Toc155353441"/>
      <w:r>
        <w:rPr>
          <w:rFonts w:hint="eastAsia"/>
        </w:rPr>
        <w:t>风速放大系数计算</w:t>
      </w:r>
      <w:bookmarkEnd w:id="76"/>
      <w:bookmarkEnd w:id="77"/>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1pt;width:23.85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4pt;width:23.85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4pt;width:20.4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78" w:name="地面粗糙度指数"/>
      <w:r>
        <w:rPr>
          <w:rFonts w:hint="eastAsia"/>
          <w:lang w:val="en-US"/>
        </w:rPr>
        <w:t>0.28</w:t>
      </w:r>
      <w:bookmarkEnd w:id="78"/>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79" w:name="_Toc155353442"/>
      <w:bookmarkStart w:id="80" w:name="_Toc452108768"/>
      <w:r>
        <w:rPr>
          <w:rFonts w:hint="eastAsia"/>
        </w:rPr>
        <w:t>结果</w:t>
      </w:r>
      <w:r>
        <w:t>分析</w:t>
      </w:r>
      <w:bookmarkEnd w:id="79"/>
      <w:bookmarkEnd w:id="80"/>
    </w:p>
    <w:p>
      <w:pPr>
        <w:pStyle w:val="4"/>
        <w:rPr>
          <w:szCs w:val="21"/>
        </w:rPr>
      </w:pPr>
      <w:bookmarkStart w:id="81" w:name="_Toc155353443"/>
      <w:r>
        <w:rPr>
          <w:rFonts w:hint="eastAsia"/>
          <w:szCs w:val="21"/>
        </w:rPr>
        <w:t>工况</w:t>
      </w:r>
      <w:r>
        <w:rPr>
          <w:szCs w:val="21"/>
        </w:rPr>
        <w:t>表</w:t>
      </w:r>
      <w:bookmarkEnd w:id="81"/>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2"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225.0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225.0</w:t>
            </w:r>
          </w:p>
        </w:tc>
      </w:tr>
      <w:bookmarkEnd w:id="82"/>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3" w:name="_Toc509844750"/>
      <w:bookmarkStart w:id="84" w:name="_Toc155353444"/>
      <w:r>
        <w:rPr>
          <w:rFonts w:hint="eastAsia"/>
        </w:rPr>
        <w:t>冬季工况</w:t>
      </w:r>
      <w:bookmarkEnd w:id="83"/>
      <w:bookmarkEnd w:id="84"/>
    </w:p>
    <w:p>
      <w:pPr>
        <w:ind w:firstLine="420" w:firstLineChars="200"/>
        <w:jc w:val="both"/>
      </w:pPr>
      <w:r>
        <w:rPr>
          <w:rFonts w:hint="eastAsia"/>
          <w:lang w:val="en-US"/>
        </w:rPr>
        <w:t>本项目冬季工况的入口边界风速为</w:t>
      </w:r>
      <w:bookmarkStart w:id="85" w:name="冬季入口边界风速"/>
      <w:r>
        <w:rPr>
          <w:rFonts w:hint="eastAsia" w:ascii="Calibri" w:hAnsi="Calibri"/>
          <w:szCs w:val="21"/>
        </w:rPr>
        <w:t>4.70</w:t>
      </w:r>
      <w:bookmarkEnd w:id="85"/>
      <w:r>
        <w:rPr>
          <w:rFonts w:ascii="Calibri" w:hAnsi="Calibri"/>
          <w:szCs w:val="21"/>
        </w:rPr>
        <w:t>m/s</w:t>
      </w:r>
      <w:r>
        <w:rPr>
          <w:rFonts w:hint="eastAsia" w:ascii="Calibri" w:hAnsi="Calibri"/>
          <w:szCs w:val="21"/>
        </w:rPr>
        <w:t>，风向为</w:t>
      </w:r>
      <w:bookmarkStart w:id="86" w:name="冬季入口边界风向"/>
      <w:r>
        <w:rPr>
          <w:szCs w:val="21"/>
        </w:rPr>
        <w:t>N</w:t>
      </w:r>
      <w:bookmarkEnd w:id="86"/>
      <w:r>
        <w:rPr>
          <w:rFonts w:hint="eastAsia"/>
          <w:szCs w:val="21"/>
        </w:rPr>
        <w:t>。</w:t>
      </w:r>
    </w:p>
    <w:p>
      <w:pPr>
        <w:pStyle w:val="5"/>
      </w:pPr>
      <w:bookmarkStart w:id="87" w:name="_Toc509844751"/>
      <w:bookmarkStart w:id="88" w:name="_Toc155353445"/>
      <w:r>
        <w:rPr>
          <w:rFonts w:hint="eastAsia"/>
        </w:rPr>
        <w:t>风速达标分析</w:t>
      </w:r>
      <w:bookmarkEnd w:id="87"/>
      <w:bookmarkEnd w:id="88"/>
      <w:r>
        <w:rPr>
          <w:rFonts w:hint="eastAsia"/>
        </w:rPr>
        <w:t xml:space="preserve"> </w:t>
      </w:r>
    </w:p>
    <w:p>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pPr>
        <w:pStyle w:val="3"/>
        <w:ind w:firstLine="420"/>
        <w:rPr>
          <w:lang w:val="en-US"/>
        </w:rPr>
      </w:pPr>
      <w:r>
        <w:rPr>
          <w:rFonts w:hint="eastAsia"/>
          <w:lang w:val="en-US"/>
        </w:rPr>
        <w:t>分析下列图数据，</w:t>
      </w:r>
      <w:bookmarkStart w:id="89" w:name="冬季工况人行区风速分析结论"/>
      <w:bookmarkEnd w:id="89"/>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0" w:name="冬季工况人行区风速云图"/>
      <w:bookmarkEnd w:id="90"/>
      <w:r>
        <w:drawing>
          <wp:inline distT="0" distB="0" distL="0" distR="0">
            <wp:extent cx="5667375" cy="28956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2"/>
                    <a:stretch>
                      <a:fillRect/>
                    </a:stretch>
                  </pic:blipFill>
                  <pic:spPr>
                    <a:xfrm>
                      <a:off x="0" y="0"/>
                      <a:ext cx="5667375" cy="28956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pPr>
        <w:pStyle w:val="3"/>
        <w:ind w:firstLine="420"/>
        <w:rPr>
          <w:lang w:val="en-US"/>
        </w:rPr>
      </w:pPr>
    </w:p>
    <w:p>
      <w:pPr>
        <w:pStyle w:val="5"/>
      </w:pPr>
      <w:bookmarkStart w:id="91" w:name="_Toc509844752"/>
      <w:bookmarkStart w:id="92" w:name="_Toc155353446"/>
      <w:r>
        <w:rPr>
          <w:rFonts w:hint="eastAsia"/>
        </w:rPr>
        <w:t>风速放大系数达标分析</w:t>
      </w:r>
      <w:bookmarkEnd w:id="91"/>
      <w:bookmarkEnd w:id="92"/>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3" w:name="冬季工况人行区风速放大系数分析结论"/>
      <w:bookmarkEnd w:id="93"/>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bookmarkStart w:id="94" w:name="冬季工况人行区风速放大系数云图"/>
      <w:bookmarkEnd w:id="94"/>
      <w:r>
        <w:drawing>
          <wp:inline distT="0" distB="0" distL="0" distR="0">
            <wp:extent cx="5667375" cy="28670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3"/>
                    <a:stretch>
                      <a:fillRect/>
                    </a:stretch>
                  </pic:blipFill>
                  <pic:spPr>
                    <a:xfrm>
                      <a:off x="0" y="0"/>
                      <a:ext cx="5667375" cy="286702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pPr>
        <w:pStyle w:val="3"/>
        <w:ind w:firstLine="420"/>
        <w:rPr>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pPr>
        <w:ind w:firstLine="420" w:firstLineChars="200"/>
        <w:rPr>
          <w:rFonts w:ascii="黑体" w:hAnsi="黑体" w:eastAsia="黑体"/>
          <w:lang w:val="en-US"/>
        </w:rPr>
      </w:pPr>
      <w:r>
        <w:rPr>
          <w:rFonts w:hint="eastAsia" w:ascii="黑体" w:hAnsi="黑体" w:eastAsia="黑体"/>
          <w:lang w:val="en-US"/>
        </w:rPr>
        <w:t>2）通常将1.5米作为一般人群的参考行走高度，也可酌情调整人行走高度。</w:t>
      </w:r>
      <w:bookmarkStart w:id="95" w:name="_Toc509844755"/>
      <w:bookmarkEnd w:id="95"/>
      <w:bookmarkStart w:id="96" w:name="_Toc509844754"/>
      <w:bookmarkEnd w:id="96"/>
      <w:bookmarkStart w:id="97" w:name="_Toc509844756"/>
      <w:bookmarkEnd w:id="97"/>
      <w:bookmarkStart w:id="98" w:name="_Toc509844757"/>
      <w:bookmarkEnd w:id="98"/>
    </w:p>
    <w:p>
      <w:pPr>
        <w:pStyle w:val="3"/>
        <w:ind w:firstLine="420"/>
        <w:rPr>
          <w:lang w:val="en-US"/>
        </w:rPr>
      </w:pPr>
    </w:p>
    <w:p>
      <w:pPr>
        <w:pStyle w:val="5"/>
      </w:pPr>
      <w:bookmarkStart w:id="99" w:name="_Toc509844753"/>
      <w:bookmarkStart w:id="100" w:name="_Toc155353447"/>
      <w:r>
        <w:rPr>
          <w:rFonts w:hint="eastAsia"/>
        </w:rPr>
        <w:t>冬季工况风速/风速放大系数达标</w:t>
      </w:r>
      <w:bookmarkEnd w:id="99"/>
      <w:r>
        <w:rPr>
          <w:rFonts w:hint="eastAsia"/>
        </w:rPr>
        <w:t>结果汇总</w:t>
      </w:r>
      <w:bookmarkEnd w:id="100"/>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1" w:name="冬季工况风速是否有超限区域"/>
            <w:r>
              <w:rPr>
                <w:rFonts w:hint="eastAsia" w:ascii="宋体" w:hAnsi="宋体" w:cs="宋体"/>
                <w:color w:val="000000"/>
                <w:sz w:val="22"/>
                <w:szCs w:val="22"/>
                <w:lang w:val="en-US"/>
              </w:rPr>
              <w:t>否</w:t>
            </w:r>
            <w:bookmarkEnd w:id="101"/>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2" w:name="冬季工况风速达标判断"/>
            <w:r>
              <w:rPr>
                <w:rFonts w:hint="eastAsia" w:ascii="宋体" w:hAnsi="宋体" w:cs="宋体"/>
                <w:color w:val="000000"/>
                <w:sz w:val="22"/>
                <w:szCs w:val="22"/>
                <w:lang w:val="en-US"/>
              </w:rPr>
              <w:t>是</w:t>
            </w:r>
            <w:bookmarkEnd w:id="102"/>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3" w:name="冬季工况风速放大系数是否有超限区域"/>
            <w:r>
              <w:rPr>
                <w:rFonts w:hint="eastAsia" w:ascii="宋体" w:hAnsi="宋体" w:cs="宋体"/>
                <w:color w:val="000000"/>
                <w:sz w:val="22"/>
                <w:szCs w:val="22"/>
                <w:lang w:val="en-US"/>
              </w:rPr>
              <w:t>否</w:t>
            </w:r>
            <w:bookmarkEnd w:id="103"/>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4" w:name="冬季工况风速放大系数达标判断"/>
            <w:r>
              <w:rPr>
                <w:rFonts w:hint="eastAsia" w:ascii="宋体" w:hAnsi="宋体" w:cs="宋体"/>
                <w:color w:val="000000"/>
                <w:sz w:val="22"/>
                <w:szCs w:val="22"/>
                <w:lang w:val="en-US"/>
              </w:rPr>
              <w:t>是</w:t>
            </w:r>
            <w:bookmarkEnd w:id="104"/>
          </w:p>
        </w:tc>
      </w:tr>
    </w:tbl>
    <w:p/>
    <w:p>
      <w:pPr>
        <w:pStyle w:val="5"/>
      </w:pPr>
      <w:bookmarkStart w:id="105" w:name="_Toc155353448"/>
      <w:r>
        <w:rPr>
          <w:rFonts w:hint="eastAsia"/>
        </w:rPr>
        <w:t>建筑迎风面和背风面风压分析</w:t>
      </w:r>
      <w:bookmarkEnd w:id="105"/>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06" w:name="冬季工况建筑迎风面风压云图"/>
      <w:bookmarkEnd w:id="106"/>
      <w:r>
        <w:drawing>
          <wp:inline distT="0" distB="0" distL="0" distR="0">
            <wp:extent cx="5667375" cy="30480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5"/>
                    <a:stretch>
                      <a:fillRect/>
                    </a:stretch>
                  </pic:blipFill>
                  <pic:spPr>
                    <a:xfrm>
                      <a:off x="0" y="0"/>
                      <a:ext cx="5667375" cy="30480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07" w:name="冬季工况建筑背风面风压云图"/>
      <w:bookmarkEnd w:id="107"/>
      <w:r>
        <w:drawing>
          <wp:inline distT="0" distB="0" distL="0" distR="0">
            <wp:extent cx="5667375" cy="30765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6"/>
                    <a:stretch>
                      <a:fillRect/>
                    </a:stretch>
                  </pic:blipFill>
                  <pic:spPr>
                    <a:xfrm>
                      <a:off x="0" y="0"/>
                      <a:ext cx="5667375" cy="307657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08" w:name="建筑迎风面和背风面风压差计算结果"/>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09" w:name="建筑迎背风面风压差表_建筑名"/>
      <w:r>
        <w:rPr>
          <w:rFonts w:ascii="Cambria" w:hAnsi="Cambria" w:eastAsia="黑体"/>
          <w:sz w:val="20"/>
        </w:rPr>
        <w:t>新平面嘿嘿t7</w:t>
      </w:r>
      <w:bookmarkEnd w:id="109"/>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-0.79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-0.81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-0.79</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-0.81</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0.02</w:t>
            </w:r>
          </w:p>
        </w:tc>
      </w:tr>
    </w:tbl>
    <w:p>
      <w:bookmarkStart w:id="110" w:name="结论"/>
      <w:bookmarkEnd w:id="110"/>
      <w:r>
        <w:t>标准要求：迎背风面窗平均风压差（绝对值）≤5Pa。结论：该楼</w:t>
      </w:r>
      <w:r>
        <w:rPr>
          <w:b/>
          <w:color w:val="0000FF"/>
        </w:rPr>
        <w:t>达标</w:t>
      </w:r>
      <w:r>
        <w:t>。</w:t>
      </w:r>
    </w:p>
    <w:bookmarkEnd w:id="108"/>
    <w:p>
      <w:pPr>
        <w:jc w:val="center"/>
        <w:rPr>
          <w:rFonts w:ascii="Cambria" w:hAnsi="Cambria" w:eastAsia="黑体"/>
          <w:sz w:val="20"/>
        </w:rPr>
      </w:pPr>
      <w:bookmarkStart w:id="111" w:name="建筑迎背风面风压差表_新增"/>
      <w:bookmarkEnd w:id="111"/>
      <w:bookmarkStart w:id="112" w:name="建筑迎背风面风压差表"/>
    </w:p>
    <w:bookmarkEnd w:id="112"/>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3"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新平面嘿嘿t7</w:t>
            </w:r>
          </w:p>
        </w:tc>
        <w:tc>
          <w:tcPr>
            <w:tcW w:w="1276" w:type="dxa"/>
            <w:shd w:val="clear" w:color="auto" w:fill="auto"/>
            <w:vAlign w:val="center"/>
          </w:tcPr>
          <w:p>
            <w:pPr>
              <w:jc w:val="center"/>
              <w:rPr>
                <w:lang w:val="en-US"/>
              </w:rPr>
            </w:pPr>
            <w:r>
              <w:rPr>
                <w:lang w:val="en-US"/>
              </w:rPr>
              <w:t>-0.79</w:t>
            </w:r>
          </w:p>
        </w:tc>
        <w:tc>
          <w:tcPr>
            <w:tcW w:w="1276" w:type="dxa"/>
            <w:shd w:val="clear" w:color="auto" w:fill="auto"/>
            <w:vAlign w:val="center"/>
          </w:tcPr>
          <w:p>
            <w:pPr>
              <w:jc w:val="center"/>
              <w:rPr>
                <w:lang w:val="en-US"/>
              </w:rPr>
            </w:pPr>
            <w:r>
              <w:rPr>
                <w:lang w:val="en-US"/>
              </w:rPr>
              <w:t>-0.81</w:t>
            </w:r>
          </w:p>
        </w:tc>
        <w:tc>
          <w:tcPr>
            <w:tcW w:w="1701" w:type="dxa"/>
            <w:shd w:val="clear" w:color="auto" w:fill="auto"/>
            <w:vAlign w:val="center"/>
          </w:tcPr>
          <w:p>
            <w:pPr>
              <w:jc w:val="center"/>
              <w:rPr>
                <w:lang w:val="en-US"/>
              </w:rPr>
            </w:pPr>
            <w:r>
              <w:rPr>
                <w:lang w:val="en-US"/>
              </w:rPr>
              <w:t>0.02</w:t>
            </w:r>
          </w:p>
        </w:tc>
        <w:tc>
          <w:tcPr>
            <w:tcW w:w="973" w:type="dxa"/>
            <w:shd w:val="clear" w:color="auto" w:fill="auto"/>
            <w:vAlign w:val="center"/>
          </w:tcPr>
          <w:p>
            <w:pPr>
              <w:jc w:val="center"/>
              <w:rPr>
                <w:lang w:val="en-US"/>
              </w:rPr>
            </w:pPr>
            <w:r>
              <w:rPr>
                <w:lang w:val="en-US"/>
              </w:rPr>
              <w:t>是</w:t>
            </w:r>
          </w:p>
        </w:tc>
      </w:tr>
      <w:bookmarkEnd w:id="113"/>
    </w:tbl>
    <w:p>
      <w:pPr>
        <w:rPr>
          <w:lang w:val="en-US"/>
        </w:rPr>
      </w:pPr>
      <w:bookmarkStart w:id="114" w:name="建筑迎风和背风面风压差结论汇总结论"/>
      <w:bookmarkEnd w:id="114"/>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bookmarkStart w:id="115" w:name="冬季工况"/>
      <w:bookmarkEnd w:id="115"/>
      <w:r>
        <w:rPr>
          <w:rFonts w:hint="eastAsia"/>
          <w:lang w:val="en-US"/>
        </w:rPr>
        <w:t xml:space="preserve"> </w:t>
      </w:r>
    </w:p>
    <w:p>
      <w:pPr>
        <w:pStyle w:val="4"/>
      </w:pPr>
      <w:bookmarkStart w:id="116" w:name="_Toc155353449"/>
      <w:r>
        <w:rPr>
          <w:rFonts w:hint="eastAsia"/>
        </w:rPr>
        <w:t>夏季工况</w:t>
      </w:r>
      <w:bookmarkEnd w:id="116"/>
    </w:p>
    <w:p>
      <w:pPr>
        <w:pStyle w:val="3"/>
        <w:ind w:firstLine="420"/>
      </w:pPr>
      <w:r>
        <w:rPr>
          <w:rFonts w:hint="eastAsia"/>
          <w:lang w:val="en-US"/>
        </w:rPr>
        <w:t>本项目夏季工况的入口边界风速为3.00m/s，风向为</w:t>
      </w:r>
      <w:r>
        <w:t>SW</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17" w:name="_Toc155353450"/>
      <w:r>
        <w:rPr>
          <w:rFonts w:hint="eastAsia"/>
        </w:rPr>
        <w:t>无风区计算分析</w:t>
      </w:r>
      <w:bookmarkEnd w:id="117"/>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r>
        <w:drawing>
          <wp:inline distT="0" distB="0" distL="0" distR="0">
            <wp:extent cx="5667375" cy="28956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7"/>
                    <a:stretch>
                      <a:fillRect/>
                    </a:stretch>
                  </pic:blipFill>
                  <pic:spPr>
                    <a:xfrm>
                      <a:off x="0" y="0"/>
                      <a:ext cx="5667375" cy="2895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118" w:name="_Toc155353451"/>
      <w:r>
        <w:rPr>
          <w:rFonts w:hint="eastAsia"/>
        </w:rPr>
        <w:t>旋涡区分析</w:t>
      </w:r>
      <w:bookmarkEnd w:id="118"/>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r>
        <w:drawing>
          <wp:inline distT="0" distB="0" distL="0" distR="0">
            <wp:extent cx="5667375" cy="31337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8"/>
                    <a:stretch>
                      <a:fillRect/>
                    </a:stretch>
                  </pic:blipFill>
                  <pic:spPr>
                    <a:xfrm>
                      <a:off x="0" y="0"/>
                      <a:ext cx="5667375" cy="313372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119" w:name="_Toc155353452"/>
      <w:r>
        <w:rPr>
          <w:rFonts w:hint="eastAsia"/>
        </w:rPr>
        <w:t>旋涡区/无风区达标结果汇总</w:t>
      </w:r>
      <w:bookmarkEnd w:id="11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120" w:name="_Toc155353453"/>
      <w:r>
        <w:rPr>
          <w:rFonts w:hint="eastAsia"/>
        </w:rPr>
        <w:t>外窗内外表面风压差达标分析</w:t>
      </w:r>
      <w:bookmarkEnd w:id="120"/>
    </w:p>
    <w:p>
      <w:pPr>
        <w:pStyle w:val="3"/>
        <w:ind w:firstLine="420"/>
      </w:pPr>
      <w:r>
        <w:rPr>
          <w:rFonts w:hint="eastAsia"/>
          <w:lang w:val="en-US"/>
        </w:rPr>
        <w:t>分析《绿色建筑评价标准》，夏季为充分利用自然通风获得良好的室内风环境，要求50%以上可开启外窗室内外表面的风压差大于0.5Pa。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r>
        <w:drawing>
          <wp:inline distT="0" distB="0" distL="0" distR="0">
            <wp:extent cx="5667375" cy="30480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9"/>
                    <a:stretch>
                      <a:fillRect/>
                    </a:stretch>
                  </pic:blipFill>
                  <pic:spPr>
                    <a:xfrm>
                      <a:off x="0" y="0"/>
                      <a:ext cx="5667375" cy="30480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p>
    <w:p>
      <w:pPr>
        <w:pStyle w:val="13"/>
        <w:jc w:val="center"/>
      </w:pPr>
      <w:r>
        <w:drawing>
          <wp:inline distT="0" distB="0" distL="0" distR="0">
            <wp:extent cx="5667375" cy="30765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80"/>
                    <a:stretch>
                      <a:fillRect/>
                    </a:stretch>
                  </pic:blipFill>
                  <pic:spPr>
                    <a:xfrm>
                      <a:off x="0" y="0"/>
                      <a:ext cx="5667375" cy="307657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DT单体(新平面嘿嘿t7)</w:t>
            </w:r>
          </w:p>
        </w:tc>
        <w:tc>
          <w:tcPr>
            <w:tcW w:w="1134" w:type="dxa"/>
            <w:shd w:val="clear" w:color="auto" w:fill="auto"/>
            <w:vAlign w:val="center"/>
          </w:tcPr>
          <w:p>
            <w:pPr>
              <w:jc w:val="center"/>
              <w:rPr>
                <w:lang w:val="en-US"/>
              </w:rPr>
            </w:pPr>
            <w:r>
              <w:rPr>
                <w:lang w:val="en-US"/>
              </w:rPr>
              <w:t>11</w:t>
            </w:r>
          </w:p>
        </w:tc>
        <w:tc>
          <w:tcPr>
            <w:tcW w:w="1984" w:type="dxa"/>
            <w:shd w:val="clear" w:color="auto" w:fill="auto"/>
            <w:vAlign w:val="center"/>
          </w:tcPr>
          <w:p>
            <w:pPr>
              <w:jc w:val="center"/>
              <w:rPr>
                <w:lang w:val="en-US"/>
              </w:rPr>
            </w:pPr>
            <w:r>
              <w:rPr>
                <w:lang w:val="en-US"/>
              </w:rPr>
              <w:t>6</w:t>
            </w:r>
          </w:p>
        </w:tc>
        <w:tc>
          <w:tcPr>
            <w:tcW w:w="1116" w:type="dxa"/>
            <w:shd w:val="clear" w:color="auto" w:fill="auto"/>
            <w:vAlign w:val="center"/>
          </w:tcPr>
          <w:p>
            <w:pPr>
              <w:jc w:val="center"/>
              <w:rPr>
                <w:lang w:val="en-US"/>
              </w:rPr>
            </w:pPr>
            <w:r>
              <w:rPr>
                <w:lang w:val="en-US"/>
              </w:rPr>
              <w:t>54.55</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p>
    <w:p/>
    <w:p>
      <w:pPr>
        <w:rPr>
          <w:lang w:val="en-US"/>
        </w:rPr>
      </w:pPr>
      <w:r>
        <w:rPr>
          <w:rFonts w:hint="eastAsia"/>
          <w:lang w:val="en-US"/>
        </w:rPr>
        <w:t xml:space="preserve">结论：本项目中所有建筑均满足“50%以上可开启外窗室内外表面的风压差大于0.5Pa”的要求。 </w:t>
      </w:r>
    </w:p>
    <w:p>
      <w:pPr>
        <w:pStyle w:val="4"/>
      </w:pPr>
      <w:bookmarkStart w:id="121" w:name="季节1"/>
      <w:bookmarkStart w:id="122" w:name="_Toc509844759"/>
      <w:bookmarkStart w:id="123" w:name="_Toc155353454"/>
      <w:r>
        <w:rPr>
          <w:rFonts w:hint="eastAsia"/>
        </w:rPr>
        <w:t>过渡季</w:t>
      </w:r>
      <w:bookmarkEnd w:id="121"/>
      <w:r>
        <w:rPr>
          <w:rFonts w:hint="eastAsia"/>
        </w:rPr>
        <w:t>工况</w:t>
      </w:r>
      <w:bookmarkEnd w:id="122"/>
      <w:bookmarkEnd w:id="123"/>
    </w:p>
    <w:p>
      <w:pPr>
        <w:pStyle w:val="3"/>
        <w:ind w:firstLine="420"/>
      </w:pPr>
      <w:r>
        <w:rPr>
          <w:rFonts w:hint="eastAsia"/>
          <w:lang w:val="en-US"/>
        </w:rPr>
        <w:t>本项目</w:t>
      </w:r>
      <w:bookmarkStart w:id="124" w:name="季节2"/>
      <w:r>
        <w:rPr>
          <w:rFonts w:hint="eastAsia"/>
          <w:lang w:val="en-US"/>
        </w:rPr>
        <w:t>过渡季</w:t>
      </w:r>
      <w:bookmarkEnd w:id="124"/>
      <w:r>
        <w:rPr>
          <w:rFonts w:hint="eastAsia"/>
          <w:lang w:val="en-US"/>
        </w:rPr>
        <w:t>工况的入口边界风速为</w:t>
      </w:r>
      <w:bookmarkStart w:id="125" w:name="入口边界风速"/>
      <w:r>
        <w:rPr>
          <w:rFonts w:hint="eastAsia"/>
          <w:lang w:val="en-US"/>
        </w:rPr>
        <w:t>3.00</w:t>
      </w:r>
      <w:bookmarkEnd w:id="125"/>
      <w:r>
        <w:rPr>
          <w:rFonts w:hint="eastAsia"/>
          <w:lang w:val="en-US"/>
        </w:rPr>
        <w:t>m/s，风向为</w:t>
      </w:r>
      <w:bookmarkStart w:id="126" w:name="入口边界风向"/>
      <w:r>
        <w:t>SW</w:t>
      </w:r>
      <w:bookmarkEnd w:id="126"/>
      <w:r>
        <w:rPr>
          <w:rFonts w:hint="eastAsia"/>
          <w:lang w:val="en-US"/>
        </w:rPr>
        <w:t>。</w:t>
      </w:r>
    </w:p>
    <w:p>
      <w:pPr>
        <w:pStyle w:val="3"/>
        <w:ind w:firstLine="420"/>
      </w:pPr>
      <w:r>
        <w:rPr>
          <w:rFonts w:hint="eastAsia"/>
          <w:lang w:val="en-US"/>
        </w:rPr>
        <w:t>根据前述《绿色建筑评价标准》 对于夏季工况的要求，</w:t>
      </w:r>
      <w:bookmarkStart w:id="127" w:name="季节3"/>
      <w:r>
        <w:rPr>
          <w:rFonts w:hint="eastAsia"/>
          <w:lang w:val="en-US"/>
        </w:rPr>
        <w:t>过渡季</w:t>
      </w:r>
      <w:bookmarkEnd w:id="127"/>
      <w:r>
        <w:rPr>
          <w:rFonts w:hint="eastAsia"/>
          <w:lang w:val="en-US"/>
        </w:rPr>
        <w:t>典型风速和风向条件下，场地内人活动区不出现涡旋或无风区。通过该项标准指导设计确保合理的建筑布局，在</w:t>
      </w:r>
      <w:bookmarkStart w:id="128" w:name="季节4"/>
      <w:r>
        <w:rPr>
          <w:rFonts w:hint="eastAsia"/>
          <w:lang w:val="en-US"/>
        </w:rPr>
        <w:t>过渡季</w:t>
      </w:r>
      <w:bookmarkEnd w:id="128"/>
      <w:r>
        <w:rPr>
          <w:rFonts w:hint="eastAsia"/>
          <w:lang w:val="en-US"/>
        </w:rPr>
        <w:t>形成有效的巷道风，优化街区自然通风环境，避免</w:t>
      </w:r>
      <w:bookmarkStart w:id="129" w:name="季节5"/>
      <w:r>
        <w:rPr>
          <w:rFonts w:hint="eastAsia"/>
          <w:lang w:val="en-US"/>
        </w:rPr>
        <w:t>过渡季</w:t>
      </w:r>
      <w:bookmarkEnd w:id="129"/>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30" w:name="_Toc509844760"/>
      <w:bookmarkStart w:id="131" w:name="_Toc155353455"/>
      <w:r>
        <w:rPr>
          <w:rFonts w:hint="eastAsia"/>
        </w:rPr>
        <w:t>无风区计算分析</w:t>
      </w:r>
      <w:bookmarkEnd w:id="130"/>
      <w:bookmarkEnd w:id="131"/>
    </w:p>
    <w:p>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132" w:name="人活动区风速分析结论"/>
      <w:bookmarkEnd w:id="132"/>
      <w:r>
        <w:t>人活动区内未标示出风速</w:t>
      </w:r>
      <w:r>
        <w:rPr>
          <w:color w:val="0000FF"/>
        </w:rPr>
        <w:t>小于</w:t>
      </w:r>
      <w:r>
        <w:t>0.2m/s的超限区域，因此人活动区风速</w:t>
      </w:r>
      <w:r>
        <w:rPr>
          <w:color w:val="0000FF"/>
        </w:rPr>
        <w:t>满足</w:t>
      </w:r>
      <w:r>
        <w:t>绿标要求，项目可采用现有建筑布局。</w:t>
      </w:r>
    </w:p>
    <w:p>
      <w:pPr>
        <w:pStyle w:val="3"/>
        <w:spacing w:after="156" w:afterLines="50"/>
        <w:ind w:firstLine="0" w:firstLineChars="0"/>
        <w:jc w:val="center"/>
      </w:pPr>
      <w:bookmarkStart w:id="133" w:name="人行区风速云图"/>
      <w:bookmarkEnd w:id="133"/>
      <w:r>
        <w:drawing>
          <wp:inline distT="0" distB="0" distL="0" distR="0">
            <wp:extent cx="5667375" cy="28956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7"/>
                    <a:stretch>
                      <a:fillRect/>
                    </a:stretch>
                  </pic:blipFill>
                  <pic:spPr>
                    <a:xfrm>
                      <a:off x="0" y="0"/>
                      <a:ext cx="5667375" cy="2895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pPr>
        <w:pStyle w:val="3"/>
        <w:ind w:firstLine="420"/>
      </w:pPr>
    </w:p>
    <w:p>
      <w:pPr>
        <w:pStyle w:val="5"/>
      </w:pPr>
      <w:bookmarkStart w:id="134" w:name="_Toc155353456"/>
      <w:bookmarkStart w:id="135" w:name="_Toc509844761"/>
      <w:r>
        <w:rPr>
          <w:rFonts w:hint="eastAsia"/>
        </w:rPr>
        <w:t>旋涡区分析</w:t>
      </w:r>
      <w:bookmarkEnd w:id="134"/>
      <w:bookmarkEnd w:id="135"/>
    </w:p>
    <w:p>
      <w:pPr>
        <w:pStyle w:val="3"/>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136" w:name="人行区风速矢量图"/>
      <w:bookmarkEnd w:id="136"/>
      <w:r>
        <w:drawing>
          <wp:inline distT="0" distB="0" distL="0" distR="0">
            <wp:extent cx="5667375" cy="31337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8"/>
                    <a:stretch>
                      <a:fillRect/>
                    </a:stretch>
                  </pic:blipFill>
                  <pic:spPr>
                    <a:xfrm>
                      <a:off x="0" y="0"/>
                      <a:ext cx="5667375" cy="3133725"/>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pPr>
        <w:pStyle w:val="3"/>
        <w:ind w:firstLine="420"/>
        <w:rPr>
          <w:lang w:val="en-US"/>
        </w:rPr>
      </w:pPr>
    </w:p>
    <w:p>
      <w:pPr>
        <w:pStyle w:val="5"/>
      </w:pPr>
      <w:bookmarkStart w:id="137" w:name="_Toc509844762"/>
      <w:bookmarkStart w:id="138" w:name="_Toc155353457"/>
      <w:r>
        <w:rPr>
          <w:rFonts w:hint="eastAsia"/>
        </w:rPr>
        <w:t>旋涡区/无风区达标</w:t>
      </w:r>
      <w:bookmarkEnd w:id="137"/>
      <w:r>
        <w:rPr>
          <w:rFonts w:hint="eastAsia"/>
        </w:rPr>
        <w:t>结果汇总</w:t>
      </w:r>
      <w:bookmarkEnd w:id="138"/>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39" w:name="季节8"/>
      <w:r>
        <w:rPr>
          <w:rFonts w:hint="eastAsia" w:ascii="黑体" w:hAnsi="黑体" w:eastAsia="黑体"/>
          <w:sz w:val="20"/>
          <w:szCs w:val="20"/>
        </w:rPr>
        <w:t>过渡季</w:t>
      </w:r>
      <w:bookmarkEnd w:id="139"/>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0" w:name="是否有无风区"/>
            <w:r>
              <w:rPr>
                <w:rFonts w:hint="eastAsia" w:ascii="宋体" w:hAnsi="宋体" w:cs="宋体"/>
                <w:color w:val="000000"/>
                <w:sz w:val="22"/>
                <w:szCs w:val="22"/>
                <w:lang w:val="en-US"/>
              </w:rPr>
              <w:t>否</w:t>
            </w:r>
            <w:bookmarkEnd w:id="140"/>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1" w:name="无风区达标判断"/>
            <w:r>
              <w:rPr>
                <w:rFonts w:hint="eastAsia" w:ascii="宋体" w:hAnsi="宋体" w:cs="宋体"/>
                <w:color w:val="000000"/>
                <w:sz w:val="22"/>
                <w:szCs w:val="22"/>
                <w:lang w:val="en-US"/>
              </w:rPr>
              <w:t>是</w:t>
            </w:r>
            <w:bookmarkEnd w:id="141"/>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2" w:name="是否有旋涡区"/>
            <w:r>
              <w:rPr>
                <w:rFonts w:ascii="宋体" w:hAnsi="宋体" w:cs="宋体"/>
                <w:color w:val="000000"/>
                <w:sz w:val="22"/>
                <w:szCs w:val="22"/>
                <w:lang w:val="en-US"/>
              </w:rPr>
              <w:t>否</w:t>
            </w:r>
            <w:bookmarkEnd w:id="142"/>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3" w:name="旋涡区达标判断"/>
            <w:r>
              <w:rPr>
                <w:rFonts w:ascii="宋体" w:hAnsi="宋体" w:cs="宋体"/>
                <w:color w:val="000000"/>
                <w:sz w:val="22"/>
                <w:szCs w:val="22"/>
                <w:lang w:val="en-US"/>
              </w:rPr>
              <w:t>是</w:t>
            </w:r>
            <w:bookmarkEnd w:id="143"/>
          </w:p>
        </w:tc>
      </w:tr>
    </w:tbl>
    <w:p>
      <w:pPr>
        <w:pStyle w:val="5"/>
      </w:pPr>
      <w:bookmarkStart w:id="144" w:name="_Toc504501018"/>
      <w:bookmarkStart w:id="145" w:name="_Toc155353458"/>
      <w:bookmarkStart w:id="146" w:name="_Toc509844763"/>
      <w:r>
        <w:rPr>
          <w:rFonts w:hint="eastAsia"/>
        </w:rPr>
        <w:t>外窗内外表面风压</w:t>
      </w:r>
      <w:bookmarkEnd w:id="144"/>
      <w:r>
        <w:rPr>
          <w:rFonts w:hint="eastAsia"/>
        </w:rPr>
        <w:t>差达标分析</w:t>
      </w:r>
      <w:bookmarkEnd w:id="145"/>
      <w:bookmarkEnd w:id="146"/>
    </w:p>
    <w:p>
      <w:pPr>
        <w:pStyle w:val="3"/>
        <w:ind w:firstLine="420"/>
      </w:pPr>
      <w:r>
        <w:rPr>
          <w:rFonts w:hint="eastAsia"/>
          <w:lang w:val="en-US"/>
        </w:rPr>
        <w:t>分析《绿色建筑评价标准》，</w:t>
      </w:r>
      <w:bookmarkStart w:id="147" w:name="季节9"/>
      <w:r>
        <w:rPr>
          <w:rFonts w:hint="eastAsia"/>
          <w:lang w:val="en-US"/>
        </w:rPr>
        <w:t>过渡季</w:t>
      </w:r>
      <w:bookmarkEnd w:id="147"/>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48" w:name="迎风面风压云图"/>
      <w:bookmarkEnd w:id="148"/>
      <w:r>
        <w:drawing>
          <wp:inline distT="0" distB="0" distL="0" distR="0">
            <wp:extent cx="5667375" cy="30480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79"/>
                    <a:stretch>
                      <a:fillRect/>
                    </a:stretch>
                  </pic:blipFill>
                  <pic:spPr>
                    <a:xfrm>
                      <a:off x="0" y="0"/>
                      <a:ext cx="5667375" cy="30480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9" w:name="季节10"/>
      <w:r>
        <w:rPr>
          <w:rFonts w:hint="eastAsia" w:ascii="黑体" w:hAnsi="黑体" w:eastAsia="黑体"/>
          <w:sz w:val="20"/>
          <w:szCs w:val="20"/>
        </w:rPr>
        <w:t>过渡季</w:t>
      </w:r>
      <w:bookmarkEnd w:id="149"/>
    </w:p>
    <w:p>
      <w:pPr>
        <w:pStyle w:val="13"/>
        <w:jc w:val="center"/>
      </w:pPr>
      <w:bookmarkStart w:id="150" w:name="背风面风压云图"/>
      <w:bookmarkEnd w:id="150"/>
      <w:r>
        <w:drawing>
          <wp:inline distT="0" distB="0" distL="0" distR="0">
            <wp:extent cx="5667375" cy="30765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0"/>
                    <a:stretch>
                      <a:fillRect/>
                    </a:stretch>
                  </pic:blipFill>
                  <pic:spPr>
                    <a:xfrm>
                      <a:off x="0" y="0"/>
                      <a:ext cx="5667375" cy="307657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51" w:name="季节11"/>
      <w:r>
        <w:rPr>
          <w:rFonts w:hint="eastAsia" w:ascii="黑体" w:hAnsi="黑体" w:eastAsia="黑体"/>
          <w:sz w:val="20"/>
          <w:szCs w:val="20"/>
        </w:rPr>
        <w:t>过渡季</w:t>
      </w:r>
      <w:bookmarkEnd w:id="151"/>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5.4</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DT单体(新平面嘿嘿t7)</w:t>
            </w:r>
          </w:p>
        </w:tc>
        <w:tc>
          <w:tcPr>
            <w:tcW w:w="1134" w:type="dxa"/>
            <w:shd w:val="clear" w:color="auto" w:fill="auto"/>
            <w:vAlign w:val="center"/>
          </w:tcPr>
          <w:p>
            <w:pPr>
              <w:jc w:val="center"/>
              <w:rPr>
                <w:lang w:val="en-US"/>
              </w:rPr>
            </w:pPr>
            <w:r>
              <w:rPr>
                <w:lang w:val="en-US"/>
              </w:rPr>
              <w:t>11</w:t>
            </w:r>
          </w:p>
        </w:tc>
        <w:tc>
          <w:tcPr>
            <w:tcW w:w="1984" w:type="dxa"/>
            <w:shd w:val="clear" w:color="auto" w:fill="auto"/>
            <w:vAlign w:val="center"/>
          </w:tcPr>
          <w:p>
            <w:pPr>
              <w:jc w:val="center"/>
              <w:rPr>
                <w:lang w:val="en-US"/>
              </w:rPr>
            </w:pPr>
            <w:r>
              <w:rPr>
                <w:lang w:val="en-US"/>
              </w:rPr>
              <w:t>6</w:t>
            </w:r>
          </w:p>
        </w:tc>
        <w:tc>
          <w:tcPr>
            <w:tcW w:w="1116" w:type="dxa"/>
            <w:shd w:val="clear" w:color="auto" w:fill="auto"/>
            <w:vAlign w:val="center"/>
          </w:tcPr>
          <w:p>
            <w:pPr>
              <w:jc w:val="center"/>
              <w:rPr>
                <w:lang w:val="en-US"/>
              </w:rPr>
            </w:pPr>
            <w:r>
              <w:rPr>
                <w:lang w:val="en-US"/>
              </w:rPr>
              <w:t>54.55</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52" w:name="建筑外窗室内外风压差达标判定"/>
      <w:bookmarkEnd w:id="152"/>
    </w:p>
    <w:p/>
    <w:p>
      <w:pPr>
        <w:rPr>
          <w:lang w:val="en-US"/>
        </w:rPr>
      </w:pPr>
      <w:bookmarkStart w:id="153" w:name="建筑室内外风压差达标判定结论"/>
      <w:r>
        <w:rPr>
          <w:rFonts w:hint="eastAsia"/>
          <w:lang w:val="en-US"/>
        </w:rPr>
        <w:t>结论：本项目中所有建筑均满足“50%以上可开启外窗室内外表面的风压差大于0.5Pa”的要求。</w:t>
      </w:r>
      <w:bookmarkEnd w:id="153"/>
      <w:r>
        <w:rPr>
          <w:rFonts w:hint="eastAsia"/>
          <w:lang w:val="en-US"/>
        </w:rPr>
        <w:t xml:space="preserve"> </w:t>
      </w:r>
    </w:p>
    <w:p>
      <w:pPr>
        <w:rPr>
          <w:lang w:val="en-US"/>
        </w:rPr>
      </w:pPr>
      <w:bookmarkStart w:id="154" w:name="其他工况"/>
      <w:bookmarkEnd w:id="154"/>
      <w:r>
        <w:rPr>
          <w:rFonts w:hint="eastAsia"/>
          <w:lang w:val="en-US"/>
        </w:rPr>
        <w:t xml:space="preserve"> </w:t>
      </w:r>
    </w:p>
    <w:p>
      <w:pPr>
        <w:pStyle w:val="4"/>
      </w:pPr>
      <w:bookmarkStart w:id="155" w:name="_Toc509844764"/>
      <w:bookmarkStart w:id="156" w:name="_Toc155353459"/>
      <w:r>
        <w:rPr>
          <w:rFonts w:hint="eastAsia"/>
        </w:rPr>
        <w:t>结论</w:t>
      </w:r>
      <w:bookmarkEnd w:id="155"/>
      <w:bookmarkEnd w:id="156"/>
    </w:p>
    <w:p>
      <w:pPr>
        <w:pStyle w:val="5"/>
      </w:pPr>
      <w:bookmarkStart w:id="157" w:name="_Toc155353460"/>
      <w:bookmarkStart w:id="158" w:name="_Toc509844765"/>
      <w:r>
        <w:rPr>
          <w:rFonts w:hint="eastAsia"/>
        </w:rPr>
        <w:t>冬季工况达标判断</w:t>
      </w:r>
      <w:bookmarkEnd w:id="157"/>
      <w:bookmarkEnd w:id="158"/>
      <w:bookmarkStart w:id="159" w:name="_Toc509844766"/>
      <w:bookmarkEnd w:id="15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60" w:name="标准要求冬季风速得分"/>
            <w:r>
              <w:rPr>
                <w:rFonts w:hint="eastAsia"/>
                <w:lang w:val="en-US"/>
              </w:rPr>
              <w:t>3</w:t>
            </w:r>
            <w:bookmarkEnd w:id="160"/>
            <w:r>
              <w:rPr>
                <w:rFonts w:hint="eastAsia"/>
                <w:lang w:val="en-US"/>
              </w:rPr>
              <w:t>分；</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61" w:name="冬季风速结果计算域"/>
            <w:r>
              <w:t>没有出现</w:t>
            </w:r>
            <w:bookmarkEnd w:id="161"/>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bookmarkStart w:id="162" w:name="冬季风速达标判定"/>
            <w:r>
              <w:rPr>
                <w:rFonts w:hint="eastAsia"/>
                <w:b/>
                <w:lang w:val="en-US"/>
              </w:rPr>
              <w:t>达标</w:t>
            </w:r>
            <w:bookmarkEnd w:id="162"/>
          </w:p>
        </w:tc>
        <w:tc>
          <w:tcPr>
            <w:tcW w:w="1416" w:type="dxa"/>
            <w:vMerge w:val="restart"/>
            <w:tcBorders>
              <w:top w:val="single" w:color="auto" w:sz="4" w:space="0"/>
            </w:tcBorders>
            <w:shd w:val="clear" w:color="auto" w:fill="auto"/>
            <w:vAlign w:val="center"/>
          </w:tcPr>
          <w:p>
            <w:pPr>
              <w:jc w:val="center"/>
              <w:rPr>
                <w:lang w:val="en-US"/>
              </w:rPr>
            </w:pPr>
            <w:bookmarkStart w:id="163" w:name="冬季风速得分"/>
            <w:r>
              <w:rPr>
                <w:rFonts w:hint="eastAsia"/>
                <w:lang w:val="en-US"/>
              </w:rPr>
              <w:t>3</w:t>
            </w:r>
            <w:bookmarkEnd w:id="163"/>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bookmarkStart w:id="164" w:name="冬季风速放大系数结果计算域"/>
            <w:r>
              <w:t>没有出现</w:t>
            </w:r>
            <w:bookmarkEnd w:id="164"/>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65" w:name="标准要求冬季风压得分"/>
            <w:r>
              <w:rPr>
                <w:rFonts w:hint="eastAsia"/>
                <w:lang w:val="en-US"/>
              </w:rPr>
              <w:t>2</w:t>
            </w:r>
            <w:bookmarkEnd w:id="165"/>
            <w:r>
              <w:rPr>
                <w:rFonts w:hint="eastAsia"/>
                <w:lang w:val="en-US"/>
              </w:rPr>
              <w:t>分</w:t>
            </w:r>
            <w:r>
              <w:rPr>
                <w:lang w:val="en-US"/>
              </w:rPr>
              <w:t>未出现风速超标区域</w:t>
            </w:r>
          </w:p>
        </w:tc>
        <w:tc>
          <w:tcPr>
            <w:tcW w:w="1985" w:type="dxa"/>
            <w:shd w:val="clear" w:color="auto" w:fill="auto"/>
            <w:vAlign w:val="center"/>
          </w:tcPr>
          <w:p>
            <w:pPr>
              <w:jc w:val="center"/>
              <w:rPr>
                <w:lang w:val="en-US"/>
              </w:rPr>
            </w:pPr>
            <w:r>
              <w:rPr>
                <w:rFonts w:hint="eastAsia"/>
                <w:lang w:val="en-US"/>
              </w:rPr>
              <w:t>本项目</w:t>
            </w:r>
            <w:bookmarkStart w:id="166" w:name="冬季迎背风面结果"/>
            <w:r>
              <w:t>没有出现</w:t>
            </w:r>
            <w:bookmarkEnd w:id="166"/>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67" w:name="冬季迎背风面达标判定"/>
            <w:r>
              <w:rPr>
                <w:rFonts w:hint="eastAsia"/>
                <w:b/>
                <w:lang w:val="en-US"/>
              </w:rPr>
              <w:t>达标</w:t>
            </w:r>
            <w:bookmarkEnd w:id="167"/>
          </w:p>
        </w:tc>
        <w:tc>
          <w:tcPr>
            <w:tcW w:w="1416" w:type="dxa"/>
            <w:shd w:val="clear" w:color="auto" w:fill="auto"/>
            <w:vAlign w:val="center"/>
          </w:tcPr>
          <w:p>
            <w:pPr>
              <w:jc w:val="center"/>
              <w:rPr>
                <w:lang w:val="en-US"/>
              </w:rPr>
            </w:pPr>
            <w:bookmarkStart w:id="168" w:name="冬季迎背风面得分"/>
            <w:r>
              <w:rPr>
                <w:rFonts w:hint="eastAsia"/>
                <w:lang w:val="en-US"/>
              </w:rPr>
              <w:t>2</w:t>
            </w:r>
            <w:bookmarkEnd w:id="168"/>
            <w:r>
              <w:rPr>
                <w:rFonts w:hint="eastAsia"/>
                <w:lang w:val="en-US"/>
              </w:rPr>
              <w:t>分</w:t>
            </w:r>
          </w:p>
        </w:tc>
      </w:tr>
    </w:tbl>
    <w:p>
      <w:pPr>
        <w:rPr>
          <w:szCs w:val="21"/>
          <w:lang w:val="en-US"/>
        </w:rPr>
      </w:pPr>
    </w:p>
    <w:p>
      <w:pPr>
        <w:pStyle w:val="5"/>
      </w:pPr>
      <w:bookmarkStart w:id="169" w:name="_Toc509844767"/>
      <w:bookmarkEnd w:id="169"/>
      <w:bookmarkStart w:id="170" w:name="_Toc509844768"/>
      <w:bookmarkEnd w:id="170"/>
      <w:bookmarkStart w:id="171" w:name="_Toc509844769"/>
      <w:bookmarkStart w:id="172" w:name="_Toc155353461"/>
      <w:r>
        <w:rPr>
          <w:rFonts w:hint="eastAsia"/>
        </w:rPr>
        <w:t>过渡季、夏季工况达标判断</w:t>
      </w:r>
      <w:bookmarkEnd w:id="171"/>
      <w:bookmarkEnd w:id="17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3" w:name="标准要求夏季风速得分"/>
            <w:r>
              <w:rPr>
                <w:rFonts w:hint="eastAsia"/>
                <w:lang w:val="en-US"/>
              </w:rPr>
              <w:t>3</w:t>
            </w:r>
            <w:bookmarkEnd w:id="173"/>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74" w:name="夏季无风区结果计算域"/>
            <w:r>
              <w:rPr>
                <w:rFonts w:hint="eastAsia"/>
                <w:lang w:val="en-US"/>
              </w:rPr>
              <w:t>无</w:t>
            </w:r>
            <w:bookmarkEnd w:id="174"/>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bookmarkStart w:id="175" w:name="夏季无风区达标判定"/>
            <w:r>
              <w:rPr>
                <w:rFonts w:hint="eastAsia"/>
                <w:b/>
                <w:lang w:val="en-US"/>
              </w:rPr>
              <w:t>达标</w:t>
            </w:r>
            <w:bookmarkEnd w:id="175"/>
          </w:p>
        </w:tc>
        <w:tc>
          <w:tcPr>
            <w:tcW w:w="1416" w:type="dxa"/>
            <w:vMerge w:val="restart"/>
            <w:tcBorders>
              <w:top w:val="single" w:color="auto" w:sz="4" w:space="0"/>
            </w:tcBorders>
            <w:shd w:val="clear" w:color="auto" w:fill="auto"/>
            <w:vAlign w:val="center"/>
          </w:tcPr>
          <w:p>
            <w:pPr>
              <w:jc w:val="center"/>
              <w:rPr>
                <w:lang w:val="en-US"/>
              </w:rPr>
            </w:pPr>
            <w:bookmarkStart w:id="176" w:name="夏季无风区得分"/>
            <w:r>
              <w:rPr>
                <w:rFonts w:hint="eastAsia"/>
                <w:lang w:val="en-US"/>
              </w:rPr>
              <w:t>3</w:t>
            </w:r>
            <w:bookmarkEnd w:id="176"/>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77" w:name="标准要求夏季风压得分"/>
            <w:r>
              <w:rPr>
                <w:rFonts w:hint="eastAsia"/>
                <w:lang w:val="en-US"/>
              </w:rPr>
              <w:t>2</w:t>
            </w:r>
            <w:bookmarkEnd w:id="177"/>
            <w:r>
              <w:rPr>
                <w:rFonts w:hint="eastAsia"/>
                <w:lang w:val="en-US"/>
              </w:rPr>
              <w:t>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78" w:name="夏季窗内外风压差结果"/>
            <w:r>
              <w:rPr>
                <w:rFonts w:hint="eastAsia"/>
                <w:lang w:val="en-US"/>
              </w:rPr>
              <w:t>满足</w:t>
            </w:r>
            <w:bookmarkEnd w:id="178"/>
            <w:r>
              <w:rPr>
                <w:rFonts w:hint="eastAsia"/>
                <w:lang w:val="en-US"/>
              </w:rPr>
              <w:t>标准要求</w:t>
            </w:r>
          </w:p>
        </w:tc>
        <w:tc>
          <w:tcPr>
            <w:tcW w:w="1985" w:type="dxa"/>
            <w:shd w:val="clear" w:color="auto" w:fill="auto"/>
            <w:vAlign w:val="center"/>
          </w:tcPr>
          <w:p>
            <w:pPr>
              <w:jc w:val="center"/>
              <w:rPr>
                <w:b/>
                <w:lang w:val="en-US"/>
              </w:rPr>
            </w:pPr>
            <w:bookmarkStart w:id="179" w:name="夏季窗内外风压差达标判定"/>
            <w:r>
              <w:rPr>
                <w:rFonts w:hint="eastAsia"/>
                <w:b/>
                <w:lang w:val="en-US"/>
              </w:rPr>
              <w:t>达标</w:t>
            </w:r>
            <w:bookmarkEnd w:id="179"/>
          </w:p>
        </w:tc>
        <w:tc>
          <w:tcPr>
            <w:tcW w:w="1416" w:type="dxa"/>
            <w:shd w:val="clear" w:color="auto" w:fill="auto"/>
            <w:vAlign w:val="center"/>
          </w:tcPr>
          <w:p>
            <w:pPr>
              <w:jc w:val="center"/>
              <w:rPr>
                <w:lang w:val="en-US"/>
              </w:rPr>
            </w:pPr>
            <w:bookmarkStart w:id="180" w:name="夏季窗内外风压差得分"/>
            <w:r>
              <w:rPr>
                <w:rFonts w:hint="eastAsia"/>
                <w:lang w:val="en-US"/>
              </w:rPr>
              <w:t>2</w:t>
            </w:r>
            <w:bookmarkEnd w:id="180"/>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81" w:name="总得分"/>
      <w:r>
        <w:rPr>
          <w:rFonts w:hint="eastAsia"/>
          <w:lang w:val="en-US"/>
        </w:rPr>
        <w:t>10</w:t>
      </w:r>
      <w:bookmarkEnd w:id="181"/>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wMDk3NTBkYmE4ZmNjYWViNmE5ZGM1OTE0ODYifQ=="/>
  </w:docVars>
  <w:rsids>
    <w:rsidRoot w:val="0007353E"/>
    <w:rsid w:val="00005045"/>
    <w:rsid w:val="0000578F"/>
    <w:rsid w:val="0002001E"/>
    <w:rsid w:val="000219DF"/>
    <w:rsid w:val="00037A4C"/>
    <w:rsid w:val="000678A8"/>
    <w:rsid w:val="00067FD6"/>
    <w:rsid w:val="00070047"/>
    <w:rsid w:val="0007353E"/>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36CA"/>
    <w:rsid w:val="00FA4B87"/>
    <w:rsid w:val="00FA58D9"/>
    <w:rsid w:val="00FB28FF"/>
    <w:rsid w:val="00FB6C39"/>
    <w:rsid w:val="00FC7756"/>
    <w:rsid w:val="00FE4CC4"/>
    <w:rsid w:val="00FE79B9"/>
    <w:rsid w:val="00FF2243"/>
    <w:rsid w:val="71E7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autoRedefine/>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autoRedefine/>
    <w:qFormat/>
    <w:uiPriority w:val="99"/>
    <w:rPr>
      <w:color w:val="0000FF"/>
      <w:u w:val="single"/>
    </w:rPr>
  </w:style>
  <w:style w:type="character" w:customStyle="1" w:styleId="27">
    <w:name w:val="标题 1 字符"/>
    <w:link w:val="2"/>
    <w:autoRedefine/>
    <w:qFormat/>
    <w:uiPriority w:val="0"/>
    <w:rPr>
      <w:b/>
      <w:bCs/>
      <w:kern w:val="32"/>
      <w:sz w:val="28"/>
      <w:szCs w:val="28"/>
    </w:rPr>
  </w:style>
  <w:style w:type="character" w:customStyle="1" w:styleId="28">
    <w:name w:val="标题 2 字符"/>
    <w:link w:val="4"/>
    <w:autoRedefine/>
    <w:qFormat/>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autoRedefine/>
    <w:qFormat/>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autoRedefine/>
    <w:qFormat/>
    <w:uiPriority w:val="0"/>
    <w:rPr>
      <w:b/>
      <w:bCs/>
      <w:iCs/>
      <w:sz w:val="21"/>
      <w:szCs w:val="26"/>
      <w:lang w:val="en-GB"/>
    </w:rPr>
  </w:style>
  <w:style w:type="character" w:customStyle="1" w:styleId="39">
    <w:name w:val="标题 6 字符"/>
    <w:link w:val="8"/>
    <w:autoRedefine/>
    <w:qFormat/>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autoRedefine/>
    <w:qFormat/>
    <w:uiPriority w:val="0"/>
    <w:rPr>
      <w:i/>
      <w:iCs/>
      <w:sz w:val="24"/>
      <w:szCs w:val="24"/>
      <w:lang w:val="en-GB"/>
    </w:rPr>
  </w:style>
  <w:style w:type="character" w:customStyle="1" w:styleId="42">
    <w:name w:val="标题 9 字符"/>
    <w:link w:val="11"/>
    <w:autoRedefine/>
    <w:qFormat/>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89;&#24067;&#25289;~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D1D4-53B0-4689-ABF5-7E3C00284559}">
  <ds:schemaRefs/>
</ds:datastoreItem>
</file>

<file path=docProps/app.xml><?xml version="1.0" encoding="utf-8"?>
<Properties xmlns="http://schemas.openxmlformats.org/officeDocument/2006/extended-properties" xmlns:vt="http://schemas.openxmlformats.org/officeDocument/2006/docPropsVTypes">
  <Template>tmp1</Template>
  <Company>ths</Company>
  <Pages>26</Pages>
  <Words>2053</Words>
  <Characters>11706</Characters>
  <Lines>97</Lines>
  <Paragraphs>27</Paragraphs>
  <TotalTime>1</TotalTime>
  <ScaleCrop>false</ScaleCrop>
  <LinksUpToDate>false</LinksUpToDate>
  <CharactersWithSpaces>13732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2024-01-05T05:23:00Z</dcterms:created>
  <dc:creator>拉布拉多拉不多丶</dc:creator>
  <cp:lastModifiedBy>〆Forever、沫沫</cp:lastModifiedBy>
  <cp:lastPrinted>1900-12-31T16:00:00Z</cp:lastPrinted>
  <dcterms:modified xsi:type="dcterms:W3CDTF">2024-01-05T06:33:25Z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43BF64891BB444B6873A034F23C7B73B_12</vt:lpwstr>
  </property>
</Properties>
</file>