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改造后住区热环境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攀枝花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攀枝花学院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2024年1月3日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T18011205418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"_Toc16494766" </w:instrText>
      </w:r>
      <w:r>
        <w:fldChar w:fldCharType="separate"/>
      </w:r>
      <w:r>
        <w:rPr>
          <w:rStyle w:val="25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住区概况</w:t>
      </w:r>
      <w:r>
        <w:tab/>
      </w:r>
      <w:r>
        <w:fldChar w:fldCharType="begin"/>
      </w:r>
      <w:r>
        <w:instrText xml:space="preserve"> PAGEREF _Toc16494766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"_Toc16494767" </w:instrText>
      </w:r>
      <w:r>
        <w:fldChar w:fldCharType="separate"/>
      </w:r>
      <w:r>
        <w:rPr>
          <w:rStyle w:val="25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_Toc16494767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"_Toc16494768" </w:instrText>
      </w:r>
      <w:r>
        <w:fldChar w:fldCharType="separate"/>
      </w:r>
      <w:r>
        <w:rPr>
          <w:rStyle w:val="25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计算规定</w:t>
      </w:r>
      <w:r>
        <w:tab/>
      </w:r>
      <w:r>
        <w:fldChar w:fldCharType="begin"/>
      </w:r>
      <w:r>
        <w:instrText xml:space="preserve"> PAGEREF _Toc16494768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"_Toc16494769" </w:instrText>
      </w:r>
      <w:r>
        <w:fldChar w:fldCharType="separate"/>
      </w:r>
      <w:r>
        <w:rPr>
          <w:rStyle w:val="25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_Toc16494769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"_Toc16494770" </w:instrText>
      </w:r>
      <w:r>
        <w:fldChar w:fldCharType="separate"/>
      </w:r>
      <w:r>
        <w:rPr>
          <w:rStyle w:val="25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_Toc16494770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"_Toc16494771" </w:instrText>
      </w:r>
      <w:r>
        <w:fldChar w:fldCharType="separate"/>
      </w:r>
      <w:r>
        <w:rPr>
          <w:rStyle w:val="25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评价性设计</w:t>
      </w:r>
      <w:r>
        <w:tab/>
      </w:r>
      <w:r>
        <w:fldChar w:fldCharType="begin"/>
      </w:r>
      <w:r>
        <w:instrText xml:space="preserve"> PAGEREF _Toc16494771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"_Toc16494772" </w:instrText>
      </w:r>
      <w:r>
        <w:fldChar w:fldCharType="separate"/>
      </w:r>
      <w:r>
        <w:rPr>
          <w:rStyle w:val="25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_Toc16494772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"_Toc16494773" </w:instrText>
      </w:r>
      <w:r>
        <w:fldChar w:fldCharType="separate"/>
      </w:r>
      <w:r>
        <w:rPr>
          <w:rStyle w:val="25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_Toc16494773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"_Toc16494774" </w:instrText>
      </w:r>
      <w:r>
        <w:fldChar w:fldCharType="separate"/>
      </w:r>
      <w:r>
        <w:rPr>
          <w:rStyle w:val="25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_Toc16494774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"_Toc16494775" </w:instrText>
      </w:r>
      <w:r>
        <w:fldChar w:fldCharType="separate"/>
      </w:r>
      <w:r>
        <w:rPr>
          <w:rStyle w:val="25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住区指标概览</w:t>
      </w:r>
      <w:r>
        <w:tab/>
      </w:r>
      <w:r>
        <w:fldChar w:fldCharType="begin"/>
      </w:r>
      <w:r>
        <w:instrText xml:space="preserve"> PAGEREF _Toc16494775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"_Toc16494776" </w:instrText>
      </w:r>
      <w:r>
        <w:fldChar w:fldCharType="separate"/>
      </w:r>
      <w:r>
        <w:rPr>
          <w:rStyle w:val="25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规定性设计指标</w:t>
      </w:r>
      <w:r>
        <w:tab/>
      </w:r>
      <w:r>
        <w:fldChar w:fldCharType="begin"/>
      </w:r>
      <w:r>
        <w:instrText xml:space="preserve"> PAGEREF _Toc16494776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"_Toc16494777" </w:instrText>
      </w:r>
      <w:r>
        <w:fldChar w:fldCharType="separate"/>
      </w:r>
      <w:r>
        <w:rPr>
          <w:rStyle w:val="25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_Toc16494777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"_Toc16494778" </w:instrText>
      </w:r>
      <w:r>
        <w:fldChar w:fldCharType="separate"/>
      </w:r>
      <w:r>
        <w:rPr>
          <w:rStyle w:val="25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_Toc16494778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"_Toc16494779" </w:instrText>
      </w:r>
      <w:r>
        <w:fldChar w:fldCharType="separate"/>
      </w:r>
      <w:r>
        <w:rPr>
          <w:rStyle w:val="25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_Toc16494779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"_Toc16494780" </w:instrText>
      </w:r>
      <w:r>
        <w:fldChar w:fldCharType="separate"/>
      </w:r>
      <w:r>
        <w:rPr>
          <w:rStyle w:val="25"/>
          <w:lang w:val="en-GB"/>
        </w:rPr>
        <w:t>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_Toc16494780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"_Toc16494781" </w:instrText>
      </w:r>
      <w:r>
        <w:fldChar w:fldCharType="separate"/>
      </w:r>
      <w:r>
        <w:rPr>
          <w:rStyle w:val="25"/>
          <w:lang w:val="en-GB"/>
        </w:rPr>
        <w:t>6.5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_Toc16494781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"_Toc16494782" </w:instrText>
      </w:r>
      <w:r>
        <w:fldChar w:fldCharType="separate"/>
      </w:r>
      <w:r>
        <w:rPr>
          <w:rStyle w:val="25"/>
          <w:lang w:val="en-GB"/>
        </w:rPr>
        <w:t>6.6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_Toc16494782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"_Toc16494783" </w:instrText>
      </w:r>
      <w:r>
        <w:fldChar w:fldCharType="separate"/>
      </w:r>
      <w:r>
        <w:rPr>
          <w:rStyle w:val="25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评价性设计</w:t>
      </w:r>
      <w:r>
        <w:tab/>
      </w:r>
      <w:r>
        <w:fldChar w:fldCharType="begin"/>
      </w:r>
      <w:r>
        <w:instrText xml:space="preserve"> PAGEREF _Toc16494783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"_Toc16494784" </w:instrText>
      </w:r>
      <w:r>
        <w:fldChar w:fldCharType="separate"/>
      </w:r>
      <w:r>
        <w:rPr>
          <w:rStyle w:val="25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平均热岛强度</w:t>
      </w:r>
      <w:r>
        <w:tab/>
      </w:r>
      <w:r>
        <w:fldChar w:fldCharType="begin"/>
      </w:r>
      <w:r>
        <w:instrText xml:space="preserve"> PAGEREF _Toc16494784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"_Toc16494785" </w:instrText>
      </w:r>
      <w:r>
        <w:fldChar w:fldCharType="separate"/>
      </w:r>
      <w:r>
        <w:rPr>
          <w:rStyle w:val="25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湿球黑球温度</w:t>
      </w:r>
      <w:r>
        <w:tab/>
      </w:r>
      <w:r>
        <w:fldChar w:fldCharType="begin"/>
      </w:r>
      <w:r>
        <w:instrText xml:space="preserve"> PAGEREF _Toc16494785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"_Toc16494786" </w:instrText>
      </w:r>
      <w:r>
        <w:fldChar w:fldCharType="separate"/>
      </w:r>
      <w:r>
        <w:rPr>
          <w:rStyle w:val="25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结论</w:t>
      </w:r>
      <w:r>
        <w:tab/>
      </w:r>
      <w:r>
        <w:fldChar w:fldCharType="begin"/>
      </w:r>
      <w:r>
        <w:instrText xml:space="preserve"> PAGEREF _Toc16494786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6494766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改造后住区热环境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攀枝花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26.57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101.72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VB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西南</w:t>
            </w:r>
            <w:bookmarkEnd w:id="17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2" w:name="_Toc16494767"/>
      <w:bookmarkStart w:id="23" w:name="TitleFormat"/>
      <w:r>
        <w:rPr>
          <w:rFonts w:hint="eastAsia"/>
        </w:rPr>
        <w:t>设计依据</w:t>
      </w:r>
      <w:bookmarkEnd w:id="22"/>
    </w:p>
    <w:p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>
      <w:pPr>
        <w:pStyle w:val="2"/>
      </w:pPr>
      <w:bookmarkStart w:id="25" w:name="_Toc16494768"/>
      <w:r>
        <w:rPr>
          <w:rFonts w:hint="eastAsia"/>
        </w:rPr>
        <w:t>计算规定</w:t>
      </w:r>
      <w:bookmarkEnd w:id="25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6" w:name="_Toc16494769"/>
      <w:r>
        <w:rPr>
          <w:rFonts w:hint="eastAsia"/>
        </w:rPr>
        <w:t>强制条文</w:t>
      </w:r>
      <w:bookmarkEnd w:id="26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7" w:name="_Toc16494770"/>
      <w:r>
        <w:rPr>
          <w:rFonts w:hint="eastAsia"/>
        </w:rPr>
        <w:t>规定性设计</w:t>
      </w:r>
      <w:bookmarkEnd w:id="27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8" w:name="_Toc16494772"/>
      <w:r>
        <w:rPr>
          <w:rFonts w:hint="eastAsia"/>
        </w:rPr>
        <w:t>计算参数</w:t>
      </w:r>
      <w:bookmarkEnd w:id="28"/>
    </w:p>
    <w:p>
      <w:pPr>
        <w:pStyle w:val="4"/>
      </w:pPr>
      <w:bookmarkStart w:id="29" w:name="_Toc16494773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西南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397.22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397.22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151.16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134.37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>
      <w:pPr>
        <w:pStyle w:val="4"/>
      </w:pPr>
      <w:bookmarkStart w:id="31" w:name="_Toc16494774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>
      <w:pPr>
        <w:pStyle w:val="2"/>
      </w:pPr>
      <w:bookmarkStart w:id="33" w:name="_Toc16494775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vAlign w:val="center"/>
          </w:tcPr>
          <w:p>
            <w:r>
              <w:t>8624.79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7325.43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广场面积(㎡)</w:t>
            </w:r>
          </w:p>
        </w:tc>
        <w:tc>
          <w:tcPr>
            <w:vAlign w:val="center"/>
          </w:tcPr>
          <w:p>
            <w:r>
              <w:t>647.83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道路面积(㎡)</w:t>
            </w:r>
          </w:p>
        </w:tc>
        <w:tc>
          <w:tcPr>
            <w:vAlign w:val="center"/>
          </w:tcPr>
          <w:p>
            <w:r>
              <w:t>1716.45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绿地面积(㎡)</w:t>
            </w:r>
          </w:p>
        </w:tc>
        <w:tc>
          <w:tcPr>
            <w:vAlign w:val="center"/>
          </w:tcPr>
          <w:p>
            <w:r>
              <w:t>3716.89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绿化屋面面积(㎡)</w:t>
            </w:r>
          </w:p>
        </w:tc>
        <w:tc>
          <w:tcPr>
            <w:vAlign w:val="center"/>
          </w:tcPr>
          <w:p>
            <w:r>
              <w:t>213.27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乔木爬藤面积(㎡)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vAlign w:val="center"/>
          </w:tcPr>
          <w:p>
            <w:r>
              <w:t>80.17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渗透型硬地面积(㎡)</w:t>
            </w:r>
          </w:p>
        </w:tc>
        <w:tc>
          <w:tcPr>
            <w:vAlign w:val="center"/>
          </w:tcPr>
          <w:p>
            <w:r>
              <w:t>147.82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地表平均太阳辐射吸收系数</w:t>
            </w:r>
          </w:p>
        </w:tc>
        <w:tc>
          <w:tcPr>
            <w:vAlign w:val="center"/>
          </w:tcPr>
          <w:p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地面粗糙系数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CTTC居住区热时间常数(h)</w:t>
            </w:r>
          </w:p>
        </w:tc>
        <w:tc>
          <w:tcPr>
            <w:vAlign w:val="center"/>
          </w:tcPr>
          <w:p>
            <w:r>
              <w:t>8.78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平均天空角系数</w:t>
            </w:r>
          </w:p>
        </w:tc>
        <w:tc>
          <w:tcPr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通风架空率(%)</w:t>
            </w:r>
          </w:p>
        </w:tc>
        <w:tc>
          <w:tcPr>
            <w:vAlign w:val="center"/>
          </w:tcPr>
          <w:p>
            <w:r>
              <w:t>26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住区指标概览"/>
      <w:bookmarkEnd w:id="34"/>
    </w:p>
    <w:p>
      <w:pPr>
        <w:pStyle w:val="2"/>
      </w:pPr>
      <w:r>
        <w:rPr>
          <w:rFonts w:hint="eastAsia"/>
        </w:rPr>
        <w:t>强制性</w:t>
      </w:r>
      <w:r>
        <w:t>设计指标</w:t>
      </w:r>
    </w:p>
    <w:p>
      <w:pPr>
        <w:pStyle w:val="4"/>
      </w:pPr>
      <w:bookmarkStart w:id="35" w:name="_Toc16494777"/>
      <w:r>
        <w:rPr>
          <w:rFonts w:hint="eastAsia"/>
        </w:rPr>
        <w:t>平均迎风面积比</w:t>
      </w:r>
      <w:bookmarkEnd w:id="3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平均迎风面积比≤0.80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平均迎风面积比"/>
      <w:bookmarkEnd w:id="36"/>
    </w:p>
    <w:p>
      <w:pPr>
        <w:pStyle w:val="4"/>
      </w:pPr>
      <w:bookmarkStart w:id="37" w:name="_Toc16494778"/>
      <w:r>
        <w:rPr>
          <w:rFonts w:hint="eastAsia"/>
        </w:rPr>
        <w:t>活动场地遮阳覆盖率</w:t>
      </w:r>
      <w:bookmarkEnd w:id="3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240.3</w:t>
            </w:r>
          </w:p>
        </w:tc>
        <w:tc>
          <w:tcPr>
            <w:vAlign w:val="center"/>
          </w:tcPr>
          <w:p>
            <w:r>
              <w:t>647.8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128.2</w:t>
            </w:r>
          </w:p>
        </w:tc>
        <w:tc>
          <w:tcPr>
            <w:vAlign w:val="center"/>
          </w:tcPr>
          <w:p>
            <w:r>
              <w:t>147.8</w:t>
            </w:r>
          </w:p>
        </w:tc>
        <w:tc>
          <w:tcPr>
            <w:vAlign w:val="center"/>
          </w:tcPr>
          <w:p>
            <w:r>
              <w:t>87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121.9</w:t>
            </w:r>
          </w:p>
        </w:tc>
        <w:tc>
          <w:tcPr>
            <w:vAlign w:val="center"/>
          </w:tcPr>
          <w:p>
            <w:r>
              <w:t>122.1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8" w:name="活动场地遮阳覆盖率"/>
      <w:bookmarkEnd w:id="38"/>
    </w:p>
    <w:p>
      <w:pPr>
        <w:pStyle w:val="2"/>
      </w:pPr>
      <w:bookmarkStart w:id="39" w:name="_Toc16494776"/>
      <w:r>
        <w:rPr>
          <w:rFonts w:hint="eastAsia"/>
        </w:rPr>
        <w:t>规定性设计指标</w:t>
      </w:r>
      <w:bookmarkEnd w:id="39"/>
    </w:p>
    <w:p>
      <w:pPr>
        <w:pStyle w:val="4"/>
      </w:pPr>
      <w:bookmarkStart w:id="40" w:name="_Toc16494779"/>
      <w:r>
        <w:rPr>
          <w:rFonts w:hint="eastAsia"/>
        </w:rPr>
        <w:t>底层通风架空率</w:t>
      </w:r>
      <w:bookmarkEnd w:id="4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284.1</w:t>
            </w:r>
          </w:p>
        </w:tc>
        <w:tc>
          <w:tcPr>
            <w:vAlign w:val="center"/>
          </w:tcPr>
          <w:p>
            <w:r>
              <w:t>1299.4</w:t>
            </w:r>
          </w:p>
        </w:tc>
        <w:tc>
          <w:tcPr>
            <w:vAlign w:val="center"/>
          </w:tcPr>
          <w:p>
            <w:r>
              <w:t>77.7</w:t>
            </w:r>
          </w:p>
        </w:tc>
        <w:tc>
          <w:tcPr>
            <w:vAlign w:val="center"/>
          </w:tcPr>
          <w:p>
            <w:r>
              <w:t>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1" w:name="底层通风架空率"/>
      <w:bookmarkEnd w:id="41"/>
    </w:p>
    <w:p>
      <w:pPr>
        <w:pStyle w:val="4"/>
      </w:pPr>
      <w:bookmarkStart w:id="42" w:name="_Toc16494780"/>
      <w:r>
        <w:rPr>
          <w:rFonts w:hint="eastAsia"/>
        </w:rPr>
        <w:t>绿化遮阳体叶面积指数</w:t>
      </w:r>
      <w:bookmarkEnd w:id="4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  <w:bookmarkStart w:id="53" w:name="_GoBack"/>
            <w:bookmarkEnd w:id="5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绿化遮阳体叶面积指数"/>
      <w:bookmarkEnd w:id="43"/>
    </w:p>
    <w:p>
      <w:pPr>
        <w:pStyle w:val="4"/>
      </w:pPr>
      <w:bookmarkStart w:id="44" w:name="_Toc16494781"/>
      <w:r>
        <w:rPr>
          <w:rFonts w:hint="eastAsia"/>
        </w:rPr>
        <w:t>渗透蒸发指标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648</w:t>
            </w:r>
          </w:p>
        </w:tc>
        <w:tc>
          <w:tcPr>
            <w:vAlign w:val="center"/>
          </w:tcPr>
          <w:p>
            <w:r>
              <w:t>0.706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148</w:t>
            </w:r>
          </w:p>
        </w:tc>
        <w:tc>
          <w:tcPr>
            <w:vAlign w:val="center"/>
          </w:tcPr>
          <w:p>
            <w:r>
              <w:t>0.161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122</w:t>
            </w:r>
          </w:p>
        </w:tc>
        <w:tc>
          <w:tcPr>
            <w:vAlign w:val="center"/>
          </w:tcPr>
          <w:p>
            <w:r>
              <w:t>0.133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918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0.21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5" w:name="渗透蒸发指标"/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vAlign w:val="center"/>
          </w:tcPr>
          <w:p>
            <w:r>
              <w:t>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地面透水系数k(mm/s)</w:t>
            </w:r>
          </w:p>
        </w:tc>
        <w:tc>
          <w:tcPr>
            <w:vAlign w:val="center"/>
          </w:tcPr>
          <w:p>
            <w:pP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1.31</w:t>
            </w:r>
          </w:p>
        </w:tc>
        <w:tc>
          <w:tcPr>
            <w:vAlign w:val="center"/>
          </w:tcPr>
          <w:p>
            <w:r>
              <w:t>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6" w:name="_Toc16494782"/>
      <w:r>
        <w:rPr>
          <w:rFonts w:hint="eastAsia"/>
        </w:rPr>
        <w:t>屋面绿化率</w:t>
      </w:r>
      <w:bookmarkEnd w:id="4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1299.4</w:t>
            </w:r>
          </w:p>
        </w:tc>
        <w:tc>
          <w:tcPr>
            <w:vAlign w:val="center"/>
          </w:tcPr>
          <w:p>
            <w:r>
              <w:t>213.3</w:t>
            </w:r>
          </w:p>
        </w:tc>
        <w:tc>
          <w:tcPr>
            <w:vAlign w:val="center"/>
          </w:tcPr>
          <w:p>
            <w:r>
              <w:t>1299.4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1299.4</w:t>
            </w:r>
          </w:p>
        </w:tc>
        <w:tc>
          <w:tcPr>
            <w:vAlign w:val="center"/>
          </w:tcPr>
          <w:p>
            <w:r>
              <w:t>213.3</w:t>
            </w:r>
          </w:p>
        </w:tc>
        <w:tc>
          <w:tcPr>
            <w:vAlign w:val="center"/>
          </w:tcPr>
          <w:p>
            <w:r>
              <w:t>1299.4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7" w:name="屋面绿化率"/>
      <w:bookmarkEnd w:id="47"/>
    </w:p>
    <w:p>
      <w:pPr>
        <w:pStyle w:val="2"/>
      </w:pPr>
      <w:bookmarkStart w:id="48" w:name="_Toc16494786"/>
      <w:r>
        <w:rPr>
          <w:rFonts w:hint="eastAsia"/>
        </w:rPr>
        <w:t>结论</w:t>
      </w:r>
      <w:bookmarkEnd w:id="4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0" w:name="平均迎风面积比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2" w:name="底层通风架空率结论"/>
            <w: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TI4NzgyNzk5OTA3OTMyYWY0MWI3MWQyMmU4MGQ3OGIifQ=="/>
  </w:docVars>
  <w:rsids>
    <w:rsidRoot w:val="00217F62"/>
    <w:rsid w:val="001915A3"/>
    <w:rsid w:val="00217F62"/>
    <w:rsid w:val="00A906D8"/>
    <w:rsid w:val="00AB5A74"/>
    <w:rsid w:val="00F071AE"/>
    <w:rsid w:val="4F69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Company>ths</Company>
  <Pages>6</Pages>
  <Words>428</Words>
  <Characters>2440</Characters>
  <Lines>20</Lines>
  <Paragraphs>5</Paragraphs>
  <TotalTime>3</TotalTime>
  <ScaleCrop>false</ScaleCrop>
  <LinksUpToDate>false</LinksUpToDate>
  <CharactersWithSpaces>2863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2020-03-23T09:11:00Z</dcterms:created>
  <dc:creator>human</dc:creator>
  <cp:lastModifiedBy>鲸木</cp:lastModifiedBy>
  <cp:lastPrinted>2411-12-31T16:00:00Z</cp:lastPrinted>
  <dcterms:modified xsi:type="dcterms:W3CDTF">2024-01-04T09:00:40Z</dcterms:modified>
  <dc:title>住区热环境规定性设计计算书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A7133338A58843BC86E14983C297D09D_12</vt:lpwstr>
  </property>
</Properties>
</file>