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攀枝花希望小学改造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四川-攀枝花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攀枝花学院</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T18011205418</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Calibri" w:hAnsi="Calibr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"_Toc13735908" </w:instrText>
      </w:r>
      <w:r>
        <w:fldChar w:fldCharType="separate"/>
      </w:r>
      <w:r>
        <w:rPr>
          <w:rStyle w:val="26"/>
        </w:rPr>
        <w:t>1</w:t>
      </w:r>
      <w:r>
        <w:rPr>
          <w:rFonts w:ascii="Calibri" w:hAnsi="Calibri"/>
          <w:b w:val="0"/>
          <w:bCs w:val="0"/>
          <w:szCs w:val="22"/>
        </w:rPr>
        <w:tab/>
      </w:r>
      <w:r>
        <w:rPr>
          <w:rStyle w:val="26"/>
          <w:rFonts w:hint="eastAsia"/>
        </w:rPr>
        <w:t>项目概况</w:t>
      </w:r>
      <w:r>
        <w:tab/>
      </w:r>
      <w:r>
        <w:fldChar w:fldCharType="begin"/>
      </w:r>
      <w:r>
        <w:instrText xml:space="preserve"> PAGEREF _Toc13735908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"_Toc13735909" </w:instrText>
      </w:r>
      <w:r>
        <w:fldChar w:fldCharType="separate"/>
      </w:r>
      <w:r>
        <w:rPr>
          <w:rStyle w:val="26"/>
          <w:lang w:val="en-GB"/>
        </w:rPr>
        <w:t>1.1</w:t>
      </w:r>
      <w:r>
        <w:rPr>
          <w:rFonts w:ascii="Calibri" w:hAnsi="Calibri"/>
          <w:szCs w:val="22"/>
        </w:rPr>
        <w:tab/>
      </w:r>
      <w:r>
        <w:rPr>
          <w:rStyle w:val="26"/>
          <w:rFonts w:hint="eastAsia"/>
        </w:rPr>
        <w:t>平面图</w:t>
      </w:r>
      <w:r>
        <w:tab/>
      </w:r>
      <w:r>
        <w:fldChar w:fldCharType="begin"/>
      </w:r>
      <w:r>
        <w:instrText xml:space="preserve"> PAGEREF _Toc13735909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"_Toc13735910" </w:instrText>
      </w:r>
      <w:r>
        <w:fldChar w:fldCharType="separate"/>
      </w:r>
      <w:r>
        <w:rPr>
          <w:rStyle w:val="26"/>
          <w:lang w:val="en-GB"/>
        </w:rPr>
        <w:t>1.2</w:t>
      </w:r>
      <w:r>
        <w:rPr>
          <w:rFonts w:ascii="Calibri" w:hAnsi="Calibri"/>
          <w:szCs w:val="22"/>
        </w:rPr>
        <w:tab/>
      </w:r>
      <w:r>
        <w:rPr>
          <w:rStyle w:val="26"/>
          <w:rFonts w:hint="eastAsia"/>
        </w:rPr>
        <w:t>三维视图</w:t>
      </w:r>
      <w:r>
        <w:tab/>
      </w:r>
      <w:r>
        <w:fldChar w:fldCharType="begin"/>
      </w:r>
      <w:r>
        <w:instrText xml:space="preserve"> PAGEREF _Toc13735910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"_Toc13735911" </w:instrText>
      </w:r>
      <w:r>
        <w:fldChar w:fldCharType="separate"/>
      </w:r>
      <w:r>
        <w:rPr>
          <w:rStyle w:val="26"/>
        </w:rPr>
        <w:t>2</w:t>
      </w:r>
      <w:r>
        <w:rPr>
          <w:rFonts w:ascii="Calibri" w:hAnsi="Calibri"/>
          <w:b w:val="0"/>
          <w:bCs w:val="0"/>
          <w:szCs w:val="22"/>
        </w:rPr>
        <w:tab/>
      </w:r>
      <w:r>
        <w:rPr>
          <w:rStyle w:val="26"/>
          <w:rFonts w:hint="eastAsia"/>
        </w:rPr>
        <w:t>计算依据</w:t>
      </w:r>
      <w:r>
        <w:tab/>
      </w:r>
      <w:r>
        <w:fldChar w:fldCharType="begin"/>
      </w:r>
      <w:r>
        <w:instrText xml:space="preserve"> PAGEREF _Toc13735911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"_Toc13735912" </w:instrText>
      </w:r>
      <w:r>
        <w:fldChar w:fldCharType="separate"/>
      </w:r>
      <w:r>
        <w:rPr>
          <w:rStyle w:val="26"/>
        </w:rPr>
        <w:t>3</w:t>
      </w:r>
      <w:r>
        <w:rPr>
          <w:rFonts w:ascii="Calibri" w:hAnsi="Calibri"/>
          <w:b w:val="0"/>
          <w:bCs w:val="0"/>
          <w:szCs w:val="22"/>
        </w:rPr>
        <w:tab/>
      </w:r>
      <w:r>
        <w:rPr>
          <w:rStyle w:val="26"/>
          <w:rFonts w:hint="eastAsia"/>
        </w:rPr>
        <w:t>参考标准</w:t>
      </w:r>
      <w:r>
        <w:tab/>
      </w:r>
      <w:r>
        <w:fldChar w:fldCharType="begin"/>
      </w:r>
      <w:r>
        <w:instrText xml:space="preserve"> PAGEREF _Toc13735912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"_Toc13735913" </w:instrText>
      </w:r>
      <w:r>
        <w:fldChar w:fldCharType="separate"/>
      </w:r>
      <w:r>
        <w:rPr>
          <w:rStyle w:val="26"/>
        </w:rPr>
        <w:t>4</w:t>
      </w:r>
      <w:r>
        <w:rPr>
          <w:rFonts w:ascii="Calibri" w:hAnsi="Calibri"/>
          <w:b w:val="0"/>
          <w:bCs w:val="0"/>
          <w:szCs w:val="22"/>
        </w:rPr>
        <w:tab/>
      </w:r>
      <w:r>
        <w:rPr>
          <w:rStyle w:val="26"/>
          <w:rFonts w:hint="eastAsia"/>
        </w:rPr>
        <w:t>计算方法</w:t>
      </w:r>
      <w:r>
        <w:tab/>
      </w:r>
      <w:r>
        <w:fldChar w:fldCharType="begin"/>
      </w:r>
      <w:r>
        <w:instrText xml:space="preserve"> PAGEREF _Toc13735913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"_Toc13735914" </w:instrText>
      </w:r>
      <w:r>
        <w:fldChar w:fldCharType="separate"/>
      </w:r>
      <w:r>
        <w:rPr>
          <w:rStyle w:val="26"/>
          <w:lang w:val="en-GB"/>
        </w:rPr>
        <w:t>4.1</w:t>
      </w:r>
      <w:r>
        <w:rPr>
          <w:rFonts w:ascii="Calibri" w:hAnsi="Calibri"/>
          <w:szCs w:val="22"/>
        </w:rPr>
        <w:tab/>
      </w:r>
      <w:r>
        <w:rPr>
          <w:rStyle w:val="26"/>
        </w:rPr>
        <w:t>CFD</w:t>
      </w:r>
      <w:r>
        <w:rPr>
          <w:rStyle w:val="26"/>
          <w:rFonts w:hint="eastAsia"/>
        </w:rPr>
        <w:t>计算原理</w:t>
      </w:r>
      <w:r>
        <w:tab/>
      </w:r>
      <w:r>
        <w:fldChar w:fldCharType="begin"/>
      </w:r>
      <w:r>
        <w:instrText xml:space="preserve"> PAGEREF _Toc13735914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"_Toc13735915" </w:instrText>
      </w:r>
      <w:r>
        <w:fldChar w:fldCharType="separate"/>
      </w:r>
      <w:r>
        <w:rPr>
          <w:rStyle w:val="26"/>
          <w:lang w:val="en-GB"/>
        </w:rPr>
        <w:t>4.1.1</w:t>
      </w:r>
      <w:r>
        <w:rPr>
          <w:rFonts w:ascii="Calibri" w:hAnsi="Calibri"/>
          <w:szCs w:val="22"/>
        </w:rPr>
        <w:tab/>
      </w:r>
      <w:r>
        <w:rPr>
          <w:rStyle w:val="26"/>
          <w:rFonts w:hint="eastAsia"/>
        </w:rPr>
        <w:t>湍流模型</w:t>
      </w:r>
      <w:r>
        <w:tab/>
      </w:r>
      <w:r>
        <w:fldChar w:fldCharType="begin"/>
      </w:r>
      <w:r>
        <w:instrText xml:space="preserve"> PAGEREF _Toc13735915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"_Toc13735916" </w:instrText>
      </w:r>
      <w:r>
        <w:fldChar w:fldCharType="separate"/>
      </w:r>
      <w:r>
        <w:rPr>
          <w:rStyle w:val="26"/>
          <w:lang w:val="en-GB"/>
        </w:rPr>
        <w:t>4.1.2</w:t>
      </w:r>
      <w:r>
        <w:rPr>
          <w:rFonts w:ascii="Calibri" w:hAnsi="Calibri"/>
          <w:szCs w:val="22"/>
        </w:rPr>
        <w:tab/>
      </w:r>
      <w:r>
        <w:rPr>
          <w:rStyle w:val="26"/>
          <w:rFonts w:hint="eastAsia"/>
        </w:rPr>
        <w:t>边界条件</w:t>
      </w:r>
      <w:r>
        <w:tab/>
      </w:r>
      <w:r>
        <w:fldChar w:fldCharType="begin"/>
      </w:r>
      <w:r>
        <w:instrText xml:space="preserve"> PAGEREF _Toc13735916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"_Toc13735917" </w:instrText>
      </w:r>
      <w:r>
        <w:fldChar w:fldCharType="separate"/>
      </w:r>
      <w:r>
        <w:rPr>
          <w:rStyle w:val="26"/>
          <w:lang w:val="en-GB"/>
        </w:rPr>
        <w:t>4.1.3</w:t>
      </w:r>
      <w:r>
        <w:rPr>
          <w:rFonts w:ascii="Calibri" w:hAnsi="Calibri"/>
          <w:szCs w:val="22"/>
        </w:rPr>
        <w:tab/>
      </w:r>
      <w:r>
        <w:rPr>
          <w:rStyle w:val="26"/>
          <w:rFonts w:hint="eastAsia"/>
        </w:rPr>
        <w:t>求解计算</w:t>
      </w:r>
      <w:r>
        <w:tab/>
      </w:r>
      <w:r>
        <w:fldChar w:fldCharType="begin"/>
      </w:r>
      <w:r>
        <w:instrText xml:space="preserve"> PAGEREF _Toc13735917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"_Toc13735918" </w:instrText>
      </w:r>
      <w:r>
        <w:fldChar w:fldCharType="separate"/>
      </w:r>
      <w:r>
        <w:rPr>
          <w:rStyle w:val="26"/>
          <w:lang w:val="en-GB"/>
        </w:rPr>
        <w:t>4.2</w:t>
      </w:r>
      <w:r>
        <w:rPr>
          <w:rFonts w:ascii="Calibri" w:hAnsi="Calibri"/>
          <w:szCs w:val="22"/>
        </w:rPr>
        <w:tab/>
      </w:r>
      <w:r>
        <w:rPr>
          <w:rStyle w:val="26"/>
          <w:rFonts w:hint="eastAsia"/>
        </w:rPr>
        <w:t>热湿环境参数计算</w:t>
      </w:r>
      <w:r>
        <w:tab/>
      </w:r>
      <w:r>
        <w:fldChar w:fldCharType="begin"/>
      </w:r>
      <w:r>
        <w:instrText xml:space="preserve"> PAGEREF _Toc13735918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"_Toc13735919" </w:instrText>
      </w:r>
      <w:r>
        <w:fldChar w:fldCharType="separate"/>
      </w:r>
      <w:r>
        <w:rPr>
          <w:rStyle w:val="26"/>
          <w:lang w:val="en-GB"/>
        </w:rPr>
        <w:t>4.2.1</w:t>
      </w:r>
      <w:r>
        <w:rPr>
          <w:rFonts w:ascii="Calibri" w:hAnsi="Calibri"/>
          <w:szCs w:val="22"/>
        </w:rPr>
        <w:tab/>
      </w:r>
      <w:r>
        <w:rPr>
          <w:rStyle w:val="26"/>
        </w:rPr>
        <w:t>PPD</w:t>
      </w:r>
      <w:r>
        <w:rPr>
          <w:rStyle w:val="26"/>
          <w:rFonts w:hint="eastAsia"/>
        </w:rPr>
        <w:t>计算公式</w:t>
      </w:r>
      <w:r>
        <w:tab/>
      </w:r>
      <w:r>
        <w:fldChar w:fldCharType="begin"/>
      </w:r>
      <w:r>
        <w:instrText xml:space="preserve"> PAGEREF _Toc13735919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"_Toc13735920" </w:instrText>
      </w:r>
      <w:r>
        <w:fldChar w:fldCharType="separate"/>
      </w:r>
      <w:r>
        <w:rPr>
          <w:rStyle w:val="26"/>
          <w:lang w:val="en-GB"/>
        </w:rPr>
        <w:t>4.2.2</w:t>
      </w:r>
      <w:r>
        <w:rPr>
          <w:rFonts w:ascii="Calibri" w:hAnsi="Calibri"/>
          <w:szCs w:val="22"/>
        </w:rPr>
        <w:tab/>
      </w:r>
      <w:r>
        <w:rPr>
          <w:rStyle w:val="26"/>
        </w:rPr>
        <w:t>PMV</w:t>
      </w:r>
      <w:r>
        <w:rPr>
          <w:rStyle w:val="26"/>
          <w:rFonts w:hint="eastAsia"/>
        </w:rPr>
        <w:t>和</w:t>
      </w:r>
      <w:r>
        <w:rPr>
          <w:rStyle w:val="26"/>
        </w:rPr>
        <w:t>PPD</w:t>
      </w:r>
      <w:r>
        <w:rPr>
          <w:rStyle w:val="26"/>
          <w:rFonts w:hint="eastAsia"/>
        </w:rPr>
        <w:t>达标比例计算</w:t>
      </w:r>
      <w:r>
        <w:tab/>
      </w:r>
      <w:r>
        <w:fldChar w:fldCharType="begin"/>
      </w:r>
      <w:r>
        <w:instrText xml:space="preserve"> PAGEREF _Toc13735920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"_Toc13735921" </w:instrText>
      </w:r>
      <w:r>
        <w:fldChar w:fldCharType="separate"/>
      </w:r>
      <w:r>
        <w:rPr>
          <w:rStyle w:val="26"/>
        </w:rPr>
        <w:t>5</w:t>
      </w:r>
      <w:r>
        <w:rPr>
          <w:rFonts w:ascii="Calibri" w:hAnsi="Calibri"/>
          <w:b w:val="0"/>
          <w:bCs w:val="0"/>
          <w:szCs w:val="22"/>
        </w:rPr>
        <w:tab/>
      </w:r>
      <w:r>
        <w:rPr>
          <w:rStyle w:val="26"/>
          <w:rFonts w:hint="eastAsia"/>
        </w:rPr>
        <w:t>结果分析</w:t>
      </w:r>
      <w:r>
        <w:tab/>
      </w:r>
      <w:r>
        <w:fldChar w:fldCharType="begin"/>
      </w:r>
      <w:r>
        <w:instrText xml:space="preserve"> PAGEREF _Toc13735921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"_Toc13735922" </w:instrText>
      </w:r>
      <w:r>
        <w:fldChar w:fldCharType="separate"/>
      </w:r>
      <w:r>
        <w:rPr>
          <w:rStyle w:val="26"/>
          <w:lang w:val="en-GB"/>
        </w:rPr>
        <w:t>5.1</w:t>
      </w:r>
      <w:r>
        <w:rPr>
          <w:rFonts w:ascii="Calibri" w:hAnsi="Calibri"/>
          <w:szCs w:val="22"/>
        </w:rPr>
        <w:tab/>
      </w:r>
      <w:r>
        <w:rPr>
          <w:rStyle w:val="26"/>
          <w:rFonts w:hint="eastAsia"/>
        </w:rPr>
        <w:t>室内温度场分布</w:t>
      </w:r>
      <w:r>
        <w:tab/>
      </w:r>
      <w:r>
        <w:fldChar w:fldCharType="begin"/>
      </w:r>
      <w:r>
        <w:instrText xml:space="preserve"> PAGEREF _Toc13735922 \h </w:instrText>
      </w:r>
      <w:r>
        <w:fldChar w:fldCharType="separate"/>
      </w:r>
      <w:r>
        <w:rPr>
          <w:rFonts w:hint="eastAsia"/>
          <w:b/>
          <w:bCs/>
        </w:rPr>
        <w:t>错误!未定义书签。</w:t>
      </w:r>
      <w:r>
        <w:fldChar w:fldCharType="end"/>
      </w:r>
      <w:r>
        <w:fldChar w:fldCharType="end"/>
      </w:r>
    </w:p>
    <w:p>
      <w:pPr>
        <w:pStyle w:val="20"/>
        <w:rPr>
          <w:rFonts w:ascii="Calibri" w:hAnsi="Calibri"/>
          <w:szCs w:val="22"/>
        </w:rPr>
      </w:pPr>
      <w:r>
        <w:fldChar w:fldCharType="begin"/>
      </w:r>
      <w:r>
        <w:instrText xml:space="preserve"> HYPERLINK \l "_Toc13735923" </w:instrText>
      </w:r>
      <w:r>
        <w:fldChar w:fldCharType="separate"/>
      </w:r>
      <w:r>
        <w:rPr>
          <w:rStyle w:val="26"/>
          <w:lang w:val="en-GB"/>
        </w:rPr>
        <w:t>5.2</w:t>
      </w:r>
      <w:r>
        <w:rPr>
          <w:rFonts w:ascii="Calibri" w:hAnsi="Calibri"/>
          <w:szCs w:val="22"/>
        </w:rPr>
        <w:tab/>
      </w:r>
      <w:r>
        <w:rPr>
          <w:rStyle w:val="26"/>
          <w:rFonts w:hint="eastAsia"/>
        </w:rPr>
        <w:t>室内</w:t>
      </w:r>
      <w:r>
        <w:rPr>
          <w:rStyle w:val="26"/>
        </w:rPr>
        <w:t>PMV</w:t>
      </w:r>
      <w:r>
        <w:rPr>
          <w:rStyle w:val="26"/>
          <w:rFonts w:hint="eastAsia"/>
        </w:rPr>
        <w:t>与</w:t>
      </w:r>
      <w:r>
        <w:rPr>
          <w:rStyle w:val="26"/>
        </w:rPr>
        <w:t>PPD</w:t>
      </w:r>
      <w:r>
        <w:rPr>
          <w:rStyle w:val="26"/>
          <w:rFonts w:hint="eastAsia"/>
        </w:rPr>
        <w:t>分布</w:t>
      </w:r>
      <w:r>
        <w:tab/>
      </w:r>
      <w:r>
        <w:fldChar w:fldCharType="begin"/>
      </w:r>
      <w:r>
        <w:instrText xml:space="preserve"> PAGEREF _Toc13735923 \h </w:instrText>
      </w:r>
      <w:r>
        <w:fldChar w:fldCharType="separate"/>
      </w:r>
      <w:r>
        <w:rPr>
          <w:rFonts w:hint="eastAsia"/>
          <w:b/>
          <w:bCs/>
        </w:rPr>
        <w:t>错误!未定义书签。</w:t>
      </w:r>
      <w:r>
        <w:fldChar w:fldCharType="end"/>
      </w:r>
      <w:r>
        <w:fldChar w:fldCharType="end"/>
      </w:r>
    </w:p>
    <w:p>
      <w:pPr>
        <w:pStyle w:val="20"/>
        <w:rPr>
          <w:rFonts w:ascii="Calibri" w:hAnsi="Calibri"/>
          <w:szCs w:val="22"/>
        </w:rPr>
      </w:pPr>
      <w:r>
        <w:fldChar w:fldCharType="begin"/>
      </w:r>
      <w:r>
        <w:instrText xml:space="preserve"> HYPERLINK \l "_Toc13735924" </w:instrText>
      </w:r>
      <w:r>
        <w:fldChar w:fldCharType="separate"/>
      </w:r>
      <w:r>
        <w:rPr>
          <w:rStyle w:val="26"/>
          <w:lang w:val="en-GB"/>
        </w:rPr>
        <w:t>5.3</w:t>
      </w:r>
      <w:r>
        <w:rPr>
          <w:rFonts w:ascii="Calibri" w:hAnsi="Calibri"/>
          <w:szCs w:val="22"/>
        </w:rPr>
        <w:tab/>
      </w:r>
      <w:r>
        <w:rPr>
          <w:rStyle w:val="26"/>
          <w:rFonts w:hint="eastAsia"/>
        </w:rPr>
        <w:t>室内</w:t>
      </w:r>
      <w:r>
        <w:rPr>
          <w:rStyle w:val="26"/>
        </w:rPr>
        <w:t>PMV</w:t>
      </w:r>
      <w:r>
        <w:rPr>
          <w:rStyle w:val="26"/>
          <w:rFonts w:hint="eastAsia"/>
        </w:rPr>
        <w:t>与</w:t>
      </w:r>
      <w:r>
        <w:rPr>
          <w:rStyle w:val="26"/>
        </w:rPr>
        <w:t>PPD</w:t>
      </w:r>
      <w:r>
        <w:rPr>
          <w:rStyle w:val="26"/>
          <w:rFonts w:hint="eastAsia"/>
        </w:rPr>
        <w:t>达标比例统计</w:t>
      </w:r>
      <w:r>
        <w:tab/>
      </w:r>
      <w:r>
        <w:fldChar w:fldCharType="begin"/>
      </w:r>
      <w:r>
        <w:instrText xml:space="preserve"> PAGEREF _Toc13735924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"_Toc13735925" </w:instrText>
      </w:r>
      <w:r>
        <w:fldChar w:fldCharType="separate"/>
      </w:r>
      <w:r>
        <w:rPr>
          <w:rStyle w:val="26"/>
        </w:rPr>
        <w:t>6</w:t>
      </w:r>
      <w:r>
        <w:rPr>
          <w:rFonts w:ascii="Calibri" w:hAnsi="Calibri"/>
          <w:b w:val="0"/>
          <w:bCs w:val="0"/>
          <w:szCs w:val="22"/>
        </w:rPr>
        <w:tab/>
      </w:r>
      <w:r>
        <w:rPr>
          <w:rStyle w:val="26"/>
          <w:rFonts w:hint="eastAsia"/>
        </w:rPr>
        <w:t>结论</w:t>
      </w:r>
      <w:r>
        <w:tab/>
      </w:r>
      <w:r>
        <w:fldChar w:fldCharType="begin"/>
      </w:r>
      <w:r>
        <w:instrText xml:space="preserve"> PAGEREF _Toc13735925 \h </w:instrText>
      </w:r>
      <w:r>
        <w:fldChar w:fldCharType="separate"/>
      </w:r>
      <w:r>
        <w:t>3</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452108759"/>
      <w:bookmarkStart w:id="12" w:name="_Toc13735908"/>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13735909"/>
      <w:bookmarkStart w:id="15" w:name="_Toc452108760"/>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5667375" cy="21717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21717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21717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1"/>
                    <a:stretch>
                      <a:fillRect/>
                    </a:stretch>
                  </pic:blipFill>
                  <pic:spPr>
                    <a:xfrm>
                      <a:off x="0" y="0"/>
                      <a:ext cx="5667375" cy="2171700"/>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7811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2"/>
                    <a:stretch>
                      <a:fillRect/>
                    </a:stretch>
                  </pic:blipFill>
                  <pic:spPr>
                    <a:xfrm>
                      <a:off x="0" y="0"/>
                      <a:ext cx="5667375" cy="178117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452108761"/>
      <w:bookmarkStart w:id="19" w:name="_Toc13735910"/>
      <w:r>
        <w:rPr>
          <w:rFonts w:hint="eastAsia"/>
        </w:rPr>
        <w:t>三</w:t>
      </w:r>
      <w:r>
        <w:t>维视图</w:t>
      </w:r>
      <w:bookmarkEnd w:id="18"/>
      <w:bookmarkEnd w:id="19"/>
    </w:p>
    <w:p>
      <w:pPr>
        <w:pStyle w:val="3"/>
        <w:ind w:firstLine="0" w:firstLineChars="0"/>
        <w:jc w:val="center"/>
        <w:rPr>
          <w:lang w:val="en-US"/>
        </w:rPr>
      </w:pPr>
      <w:bookmarkStart w:id="20" w:name="三维视图"/>
      <w:bookmarkStart w:id="21" w:name="模型观察"/>
      <w:r>
        <w:t>请先在【模型观察】命令中保存图片</w:t>
      </w:r>
      <w:bookmarkEnd w:id="20"/>
      <w:bookmarkEnd w:id="21"/>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_Toc452108762"/>
      <w:bookmarkStart w:id="23" w:name="_Toc13735911"/>
      <w:bookmarkStart w:id="24" w:name="TitleFormat"/>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13735912"/>
      <w:r>
        <w:rPr>
          <w:rFonts w:hint="eastAsia"/>
        </w:rPr>
        <w:t>参考</w:t>
      </w:r>
      <w:r>
        <w:t>标准</w:t>
      </w:r>
      <w:bookmarkEnd w:id="25"/>
      <w:bookmarkEnd w:id="29"/>
    </w:p>
    <w:p>
      <w:pPr>
        <w:pStyle w:val="3"/>
        <w:ind w:firstLine="420"/>
        <w:rPr>
          <w:lang w:val="en-US"/>
        </w:rPr>
      </w:pPr>
      <w:bookmarkStart w:id="30" w:name="_Toc452108764"/>
      <w:bookmarkStart w:id="31" w:name="_Toc451698935"/>
      <w:r>
        <w:rPr>
          <w:rFonts w:hint="eastAsia"/>
          <w:lang w:val="en-US"/>
        </w:rPr>
        <w:t>室内热湿环境评价的主要依据为</w:t>
      </w:r>
      <w:bookmarkStart w:id="32" w:name="参考标准名称2"/>
      <w:r>
        <w:rPr>
          <w:rFonts w:hint="eastAsia"/>
          <w:lang w:val="en-US"/>
        </w:rPr>
        <w:t>《绿色建筑评价标准》GB/T50378-2019</w:t>
      </w:r>
      <w:bookmarkEnd w:id="32"/>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3" w:name="_Toc13735913"/>
      <w:r>
        <w:rPr>
          <w:rFonts w:hint="eastAsia"/>
        </w:rPr>
        <w:t>计算</w:t>
      </w:r>
      <w:bookmarkEnd w:id="30"/>
      <w:bookmarkEnd w:id="31"/>
      <w:r>
        <w:rPr>
          <w:rFonts w:hint="eastAsia"/>
        </w:rPr>
        <w:t>方法</w:t>
      </w:r>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13735914"/>
      <w:r>
        <w:t>CFD</w:t>
      </w:r>
      <w:r>
        <w:rPr>
          <w:rFonts w:hint="eastAsia"/>
        </w:rPr>
        <w:t>计算原理</w:t>
      </w:r>
      <w:bookmarkEnd w:id="34"/>
    </w:p>
    <w:p>
      <w:pPr>
        <w:pStyle w:val="5"/>
      </w:pPr>
      <w:bookmarkStart w:id="35" w:name="_Toc13735915"/>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452108766"/>
      <w:bookmarkStart w:id="37" w:name="_Toc8151"/>
      <w:bookmarkStart w:id="38" w:name="_Toc451698938"/>
      <w:bookmarkStart w:id="39" w:name="_Toc13735916"/>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451698939"/>
      <w:bookmarkStart w:id="41" w:name="_Toc23583"/>
      <w:bookmarkStart w:id="42" w:name="_Toc452108767"/>
      <w:bookmarkStart w:id="43" w:name="_Toc13735917"/>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13735918"/>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r>
        <w:t>PMV</w:t>
      </w:r>
      <w:r>
        <w:rPr>
          <w:rFonts w:hint="eastAsia"/>
        </w:rPr>
        <w:t>计算公式</w:t>
      </w:r>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8" w:name="_Toc13735919"/>
      <w:r>
        <w:t>PPD</w:t>
      </w:r>
      <w:r>
        <w:rPr>
          <w:rFonts w:hint="eastAsia"/>
        </w:rPr>
        <w:t>计算公式</w:t>
      </w:r>
      <w:bookmarkEnd w:id="48"/>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9" w:name="_Toc13735920"/>
      <w:r>
        <w:rPr>
          <w:rFonts w:hint="eastAsia"/>
        </w:rPr>
        <w:t>PMV和PPD达标比例计算</w:t>
      </w:r>
      <w:bookmarkEnd w:id="49"/>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0" w:name="_Toc3745"/>
      <w:bookmarkStart w:id="51" w:name="_Toc452108768"/>
      <w:bookmarkStart w:id="52" w:name="_Toc13735921"/>
      <w:r>
        <w:rPr>
          <w:rFonts w:hint="eastAsia"/>
        </w:rPr>
        <w:t>结果</w:t>
      </w:r>
      <w:r>
        <w:t>分析</w:t>
      </w:r>
      <w:bookmarkEnd w:id="50"/>
      <w:bookmarkEnd w:id="51"/>
      <w:bookmarkEnd w:id="52"/>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3"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w:t>
            </w:r>
          </w:p>
        </w:tc>
        <w:tc>
          <w:tcPr>
            <w:tcW w:w="1104" w:type="dxa"/>
            <w:vAlign w:val="center"/>
          </w:tcPr>
          <w:p>
            <w:pPr>
              <w:pStyle w:val="3"/>
              <w:ind w:firstLine="0" w:firstLineChars="0"/>
            </w:pPr>
            <w:r>
              <w:t>32</w:t>
            </w:r>
          </w:p>
        </w:tc>
        <w:tc>
          <w:tcPr>
            <w:tcW w:w="1075" w:type="dxa"/>
          </w:tcPr>
          <w:p>
            <w:pPr>
              <w:pStyle w:val="3"/>
              <w:ind w:firstLine="0" w:firstLineChars="0"/>
            </w:pPr>
            <w:r>
              <w:t>1.2</w:t>
            </w:r>
          </w:p>
        </w:tc>
        <w:tc>
          <w:tcPr>
            <w:tcW w:w="1075" w:type="dxa"/>
          </w:tcPr>
          <w:p>
            <w:pPr>
              <w:pStyle w:val="3"/>
              <w:ind w:firstLine="0" w:firstLineChars="0"/>
            </w:pPr>
            <w:r>
              <w:t>0</w:t>
            </w:r>
          </w:p>
        </w:tc>
        <w:tc>
          <w:tcPr>
            <w:tcW w:w="1068" w:type="dxa"/>
          </w:tcPr>
          <w:p>
            <w:pPr>
              <w:pStyle w:val="3"/>
              <w:ind w:firstLine="0" w:firstLineChars="0"/>
            </w:pPr>
            <w:r>
              <w:t>1</w:t>
            </w:r>
          </w:p>
        </w:tc>
        <w:tc>
          <w:tcPr>
            <w:tcW w:w="1058" w:type="dxa"/>
          </w:tcPr>
          <w:p>
            <w:pPr>
              <w:pStyle w:val="3"/>
              <w:ind w:firstLine="0" w:firstLineChars="0"/>
            </w:pPr>
            <w:r>
              <w:t>50</w:t>
            </w:r>
          </w:p>
        </w:tc>
      </w:tr>
      <w:bookmarkEnd w:id="53"/>
    </w:tbl>
    <w:p>
      <w:pPr>
        <w:pStyle w:val="3"/>
        <w:ind w:firstLine="0" w:firstLineChars="0"/>
      </w:pPr>
    </w:p>
    <w:p>
      <w:pPr>
        <w:pStyle w:val="4"/>
      </w:pPr>
      <w:bookmarkStart w:id="54" w:name="分析对象名称"/>
      <w:r>
        <w:t>1层分析图</w:t>
      </w:r>
      <w:bookmarkEnd w:id="54"/>
    </w:p>
    <w:p>
      <w:pPr>
        <w:pStyle w:val="3"/>
        <w:ind w:firstLine="420"/>
        <w:jc w:val="center"/>
        <w:rPr>
          <w:lang w:val="en-US"/>
        </w:rPr>
      </w:pPr>
      <w:bookmarkStart w:id="55" w:name="温度场分布"/>
      <w:bookmarkEnd w:id="55"/>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56" w:name="速度云图"/>
      <w:bookmarkEnd w:id="56"/>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bookmarkStart w:id="57" w:name="流线图"/>
      <w:bookmarkEnd w:id="57"/>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bookmarkStart w:id="58"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58"/>
    </w:p>
    <w:p>
      <w:pPr>
        <w:pStyle w:val="3"/>
        <w:ind w:firstLine="420"/>
        <w:jc w:val="center"/>
        <w:rPr>
          <w:lang w:val="en-US"/>
        </w:rPr>
      </w:pPr>
      <w:bookmarkStart w:id="59" w:name="PMV分布"/>
      <w:bookmarkEnd w:id="59"/>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pPr>
        <w:pStyle w:val="3"/>
        <w:ind w:firstLine="420"/>
        <w:jc w:val="center"/>
        <w:rPr>
          <w:lang w:val="en-US"/>
        </w:rPr>
      </w:pPr>
      <w:bookmarkStart w:id="60" w:name="PPD分布"/>
      <w:bookmarkEnd w:id="60"/>
      <w:r>
        <w:drawing>
          <wp:inline distT="0" distB="0" distL="0" distR="0">
            <wp:extent cx="5667375" cy="3524250"/>
            <wp:effectExtent l="0" t="0" r="1905" b="1143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1" w:name="LPD1分布"/>
      <w:bookmarkEnd w:id="61"/>
    </w:p>
    <w:p>
      <w:pPr>
        <w:pStyle w:val="3"/>
        <w:ind w:firstLine="420"/>
        <w:jc w:val="center"/>
      </w:pPr>
    </w:p>
    <w:p>
      <w:pPr>
        <w:pStyle w:val="3"/>
        <w:ind w:firstLine="0" w:firstLineChars="0"/>
        <w:rPr>
          <w:lang w:val="en-US"/>
        </w:rPr>
      </w:pPr>
      <w:bookmarkStart w:id="69" w:name="_GoBack"/>
      <w:bookmarkEnd w:id="69"/>
      <w:bookmarkStart w:id="62" w:name="结果分析"/>
      <w:bookmarkEnd w:id="62"/>
    </w:p>
    <w:p>
      <w:pPr>
        <w:pStyle w:val="4"/>
      </w:pPr>
      <w:bookmarkStart w:id="63" w:name="_Toc13735924"/>
      <w:r>
        <w:rPr>
          <w:rFonts w:hint="eastAsia"/>
        </w:rPr>
        <w:t>室内PMV与PPD达标比例统计</w:t>
      </w:r>
      <w:bookmarkEnd w:id="63"/>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5.1</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3"/>
        <w:ind w:firstLine="0" w:firstLineChars="0"/>
        <w:jc w:val="center"/>
        <w:rPr>
          <w:rFonts w:ascii="宋体" w:hAnsi="宋体" w:cs="宋体"/>
          <w:b/>
          <w:bCs/>
          <w:color w:val="333333"/>
          <w:sz w:val="24"/>
          <w:szCs w:val="22"/>
          <w:lang w:val="en-US"/>
        </w:rPr>
      </w:pPr>
      <w:bookmarkStart w:id="64" w:name="统计计算表表头"/>
      <w:r>
        <w:rPr>
          <w:rFonts w:hint="eastAsia" w:ascii="微软雅黑" w:hAnsi="微软雅黑" w:eastAsia="微软雅黑"/>
          <w:b/>
        </w:rPr>
        <w:t>表6.1-2 建筑主要功能房间以及每套住宅PMV-PPD整体评价指标</w:t>
      </w:r>
      <w:bookmarkEnd w:id="64"/>
    </w:p>
    <w:p>
      <w:pPr>
        <w:spacing w:after="120"/>
        <w:rPr>
          <w:rFonts w:ascii="宋体" w:hAnsi="宋体" w:cs="宋体"/>
          <w:b/>
          <w:bCs/>
          <w:color w:val="333333"/>
          <w:sz w:val="24"/>
          <w:szCs w:val="22"/>
          <w:lang w:val="en-US"/>
        </w:rPr>
      </w:pPr>
      <w:bookmarkStart w:id="65" w:name="达标统计表"/>
      <w:bookmarkEnd w:id="65"/>
    </w:p>
    <w:p>
      <w:pPr>
        <w:spacing w:line="360" w:lineRule="exact"/>
        <w:ind w:firstLine="213" w:firstLineChars="97"/>
        <w:rPr>
          <w:sz w:val="32"/>
          <w:szCs w:val="32"/>
        </w:rPr>
      </w:pPr>
      <w:bookmarkStart w:id="66" w:name="_Toc13735925"/>
      <w:r>
        <w:rPr>
          <w:rFonts w:hint="eastAsia"/>
          <w:sz w:val="22"/>
          <w:szCs w:val="24"/>
        </w:rPr>
        <w:t>说明：建筑整体的PMV-PPD达标面积比例按照建筑各主要功能房间的计算值进行面积加权平均得出。</w:t>
      </w:r>
    </w:p>
    <w:p>
      <w:pPr>
        <w:pStyle w:val="2"/>
      </w:pPr>
      <w:r>
        <w:rPr>
          <w:rFonts w:hint="eastAsia"/>
        </w:rPr>
        <w:t>结论</w:t>
      </w:r>
      <w:bookmarkEnd w:id="66"/>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7" w:name="达标百分比"/>
      <w:r>
        <w:rPr>
          <w:rFonts w:hint="eastAsia"/>
          <w:lang w:val="en-US"/>
        </w:rPr>
        <w:t>75.75%</w:t>
      </w:r>
      <w:bookmarkEnd w:id="67"/>
      <w:r>
        <w:rPr>
          <w:rFonts w:hint="eastAsia"/>
          <w:lang w:val="en-US"/>
        </w:rPr>
        <w:t>，根据绿标5.2.9，应得</w:t>
      </w:r>
      <w:bookmarkStart w:id="68" w:name="得分"/>
      <w:r>
        <w:rPr>
          <w:rFonts w:hint="eastAsia"/>
          <w:lang w:val="en-US"/>
        </w:rPr>
        <w:t>6</w:t>
      </w:r>
      <w:bookmarkEnd w:id="68"/>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TI4NzgyNzk5OTA3OTMyYWY0MWI3MWQyMmU4MGQ3OGIifQ=="/>
  </w:docVars>
  <w:rsids>
    <w:rsidRoot w:val="00217F62"/>
    <w:rsid w:val="001915A3"/>
    <w:rsid w:val="00217F62"/>
    <w:rsid w:val="00A906D8"/>
    <w:rsid w:val="00AB5A74"/>
    <w:rsid w:val="00F071AE"/>
    <w:rsid w:val="37E673D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Company>ths</Company>
  <Pages>1</Pages>
  <Words>713</Words>
  <Characters>4065</Characters>
  <Lines>33</Lines>
  <Paragraphs>9</Paragraphs>
  <TotalTime>3</TotalTime>
  <ScaleCrop>false</ScaleCrop>
  <LinksUpToDate>false</LinksUpToDate>
  <CharactersWithSpaces>4769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2021-02-07T08:34:00Z</dcterms:created>
  <dc:creator>sware</dc:creator>
  <cp:lastModifiedBy>鲸木</cp:lastModifiedBy>
  <cp:lastPrinted>1900-12-31T16:00:00Z</cp:lastPrinted>
  <dcterms:modified xsi:type="dcterms:W3CDTF">2024-01-04T08:54:27Z</dcterms:modified>
  <dc:title>室内热湿环境预计达标比例报告书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AFBA169F26454CFEB3277A5DA50890C1_12</vt:lpwstr>
  </property>
</Properties>
</file>