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99"/>
        <w:gridCol w:w="1694"/>
        <w:gridCol w:w="1904"/>
        <w:gridCol w:w="1694"/>
        <w:gridCol w:w="1344"/>
        <w:gridCol w:w="1587"/>
      </w:tblGrid>
      <w:tr w14:paraId="1BD4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C44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附录C 建筑围护结构热工性能权衡判断审核表</w:t>
            </w:r>
            <w:bookmarkStart w:id="29" w:name="_GoBack"/>
            <w:bookmarkEnd w:id="29"/>
          </w:p>
        </w:tc>
      </w:tr>
      <w:tr w14:paraId="620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4DE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4457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B4F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翼展青空-智建节能体育馆</w:t>
            </w:r>
          </w:p>
        </w:tc>
      </w:tr>
      <w:tr w14:paraId="059F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393A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工程地址</w:t>
            </w:r>
          </w:p>
        </w:tc>
        <w:tc>
          <w:tcPr>
            <w:tcW w:w="445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31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RANGE!B3"/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云南</w:t>
            </w:r>
            <w:r>
              <w:rPr>
                <w:rFonts w:ascii="宋体" w:hAnsi="宋体" w:eastAsia="宋体" w:cs="宋体"/>
                <w:kern w:val="0"/>
                <w:sz w:val="22"/>
              </w:rPr>
              <w:t>-安宁</w:t>
            </w:r>
          </w:p>
        </w:tc>
      </w:tr>
      <w:tr w14:paraId="4D59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DA4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设计单位</w:t>
            </w:r>
          </w:p>
        </w:tc>
        <w:tc>
          <w:tcPr>
            <w:tcW w:w="445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AEE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604D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3B1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设计日期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4C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AA8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气候区域</w:t>
            </w:r>
          </w:p>
        </w:tc>
        <w:tc>
          <w:tcPr>
            <w:tcW w:w="2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57F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温和A区</w:t>
            </w:r>
          </w:p>
        </w:tc>
      </w:tr>
      <w:tr w14:paraId="6316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E5A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采用软件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E8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" w:name="RANGE!B6"/>
            <w:r>
              <w:rPr>
                <w:rFonts w:hint="eastAsia" w:ascii="宋体" w:hAnsi="宋体" w:eastAsia="宋体" w:cs="宋体"/>
                <w:kern w:val="0"/>
                <w:sz w:val="22"/>
              </w:rPr>
              <w:t>斯维尔节能设计BECS2016</w:t>
            </w:r>
            <w:bookmarkEnd w:id="1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065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软件版本</w:t>
            </w:r>
          </w:p>
        </w:tc>
        <w:tc>
          <w:tcPr>
            <w:tcW w:w="2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1D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" w:name="RANGE!E6"/>
            <w:r>
              <w:rPr>
                <w:rFonts w:hint="eastAsia" w:ascii="宋体" w:hAnsi="宋体" w:eastAsia="宋体" w:cs="宋体"/>
                <w:kern w:val="0"/>
                <w:sz w:val="22"/>
              </w:rPr>
              <w:t>20160808(Sp2)</w:t>
            </w:r>
            <w:bookmarkEnd w:id="2"/>
          </w:p>
        </w:tc>
      </w:tr>
      <w:tr w14:paraId="62A3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1EE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建筑面积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797827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bookmarkStart w:id="3" w:name="RANGE!B7"/>
            <w:r>
              <w:rPr>
                <w:rFonts w:hint="eastAsia" w:ascii="宋体" w:hAnsi="宋体" w:eastAsia="宋体" w:cs="宋体"/>
                <w:kern w:val="0"/>
                <w:sz w:val="22"/>
              </w:rPr>
              <w:t>15019.46</w:t>
            </w:r>
            <w:bookmarkEnd w:id="3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5CB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㎡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40DF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建筑外表面积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3280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4" w:name="RANGE!E7"/>
            <w:r>
              <w:rPr>
                <w:rFonts w:hint="eastAsia" w:ascii="宋体" w:hAnsi="宋体" w:eastAsia="宋体" w:cs="宋体"/>
                <w:kern w:val="0"/>
                <w:sz w:val="22"/>
              </w:rPr>
              <w:t>19672.58</w:t>
            </w:r>
            <w:bookmarkEnd w:id="4"/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272B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㎡</w:t>
            </w:r>
          </w:p>
        </w:tc>
      </w:tr>
      <w:tr w14:paraId="2DE6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8CD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建筑体积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7B873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bookmarkStart w:id="5" w:name="RANGE!B8"/>
            <w:r>
              <w:rPr>
                <w:rFonts w:hint="eastAsia" w:ascii="宋体" w:hAnsi="宋体" w:eastAsia="宋体" w:cs="宋体"/>
                <w:kern w:val="0"/>
                <w:sz w:val="22"/>
              </w:rPr>
              <w:t>165905.43</w:t>
            </w:r>
            <w:bookmarkEnd w:id="5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8C4F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m³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433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建筑体形系数</w:t>
            </w:r>
          </w:p>
        </w:tc>
        <w:tc>
          <w:tcPr>
            <w:tcW w:w="2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A6A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6" w:name="RANGE!E8"/>
            <w:r>
              <w:rPr>
                <w:rFonts w:hint="eastAsia" w:ascii="宋体" w:hAnsi="宋体" w:eastAsia="宋体" w:cs="宋体"/>
                <w:kern w:val="0"/>
                <w:sz w:val="22"/>
              </w:rPr>
              <w:t>0.12</w:t>
            </w:r>
            <w:bookmarkEnd w:id="6"/>
          </w:p>
        </w:tc>
      </w:tr>
      <w:tr w14:paraId="3AB9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5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137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设计建筑窗墙面积比</w:t>
            </w:r>
          </w:p>
        </w:tc>
        <w:tc>
          <w:tcPr>
            <w:tcW w:w="142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5C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屋顶透光部分与屋顶总面积之比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M</w:t>
            </w:r>
          </w:p>
        </w:tc>
        <w:tc>
          <w:tcPr>
            <w:tcW w:w="7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A0E7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M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的限值</w:t>
            </w:r>
          </w:p>
        </w:tc>
      </w:tr>
      <w:tr w14:paraId="2DDD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F77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立面1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605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立面2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B1B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立面3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99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立面4</w:t>
            </w:r>
          </w:p>
        </w:tc>
        <w:tc>
          <w:tcPr>
            <w:tcW w:w="142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E1C1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850E37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299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5F36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bookmarkStart w:id="7" w:name="RANGE!A11"/>
            <w:r>
              <w:rPr>
                <w:rFonts w:hint="eastAsia" w:ascii="宋体" w:hAnsi="宋体" w:eastAsia="宋体" w:cs="宋体"/>
                <w:kern w:val="0"/>
                <w:sz w:val="22"/>
              </w:rPr>
              <w:t>0.11</w:t>
            </w:r>
            <w:bookmarkEnd w:id="7"/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E6D2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bookmarkStart w:id="8" w:name="RANGE!B11"/>
            <w:r>
              <w:rPr>
                <w:rFonts w:hint="eastAsia" w:ascii="宋体" w:hAnsi="宋体" w:eastAsia="宋体" w:cs="宋体"/>
                <w:kern w:val="0"/>
                <w:sz w:val="22"/>
              </w:rPr>
              <w:t>0.17</w:t>
            </w:r>
            <w:bookmarkEnd w:id="8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E4E7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bookmarkStart w:id="9" w:name="RANGE!C11"/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  <w:bookmarkEnd w:id="9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74644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bookmarkStart w:id="10" w:name="RANGE!D11"/>
            <w:r>
              <w:rPr>
                <w:rFonts w:hint="eastAsia" w:ascii="宋体" w:hAnsi="宋体" w:eastAsia="宋体" w:cs="宋体"/>
                <w:kern w:val="0"/>
                <w:sz w:val="22"/>
              </w:rPr>
              <w:t>0.11</w:t>
            </w:r>
            <w:bookmarkEnd w:id="10"/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60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1" w:name="RANGE!E11"/>
            <w:r>
              <w:rPr>
                <w:rFonts w:hint="eastAsia" w:ascii="宋体" w:hAnsi="宋体" w:eastAsia="宋体" w:cs="宋体"/>
                <w:kern w:val="0"/>
                <w:sz w:val="22"/>
              </w:rPr>
              <w:t>0.1</w:t>
            </w:r>
            <w:bookmarkEnd w:id="11"/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5EE39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20%</w:t>
            </w:r>
          </w:p>
        </w:tc>
      </w:tr>
      <w:tr w14:paraId="74C1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51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31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围护结构部位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57D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设计建筑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663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参照建筑</w:t>
            </w:r>
          </w:p>
        </w:tc>
        <w:tc>
          <w:tcPr>
            <w:tcW w:w="7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189C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是否符合标准规定的限值</w:t>
            </w:r>
          </w:p>
        </w:tc>
      </w:tr>
      <w:tr w14:paraId="7FDC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A61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91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传热系数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W/（㎡·K）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0C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太阳得热系数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SHGC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BF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传热系数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W/（㎡·K）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36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太阳得热系数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SHGC</w:t>
            </w:r>
          </w:p>
        </w:tc>
        <w:tc>
          <w:tcPr>
            <w:tcW w:w="7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2802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F90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50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屋顶透光部分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DB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2" w:name="RANGE!C14"/>
            <w:r>
              <w:rPr>
                <w:rFonts w:hint="eastAsia" w:ascii="宋体" w:hAnsi="宋体" w:eastAsia="宋体" w:cs="宋体"/>
                <w:kern w:val="0"/>
                <w:sz w:val="22"/>
              </w:rPr>
              <w:t>4.6</w:t>
            </w:r>
            <w:bookmarkEnd w:id="12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AB7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3" w:name="RANGE!D14"/>
            <w:r>
              <w:rPr>
                <w:rFonts w:hint="eastAsia" w:ascii="宋体" w:hAnsi="宋体" w:eastAsia="宋体" w:cs="宋体"/>
                <w:kern w:val="0"/>
                <w:sz w:val="22"/>
              </w:rPr>
              <w:t>0.44</w:t>
            </w:r>
            <w:bookmarkEnd w:id="13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7A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DF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0.3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7F85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不满足</w:t>
            </w:r>
          </w:p>
        </w:tc>
      </w:tr>
      <w:tr w14:paraId="0071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5B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立面1外窗（包括透明幕墙）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82A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4" w:name="RANGE!C15"/>
            <w:r>
              <w:rPr>
                <w:rFonts w:hint="eastAsia" w:ascii="宋体" w:hAnsi="宋体" w:eastAsia="宋体" w:cs="宋体"/>
                <w:kern w:val="0"/>
                <w:sz w:val="22"/>
              </w:rPr>
              <w:t>6.5</w:t>
            </w:r>
            <w:bookmarkEnd w:id="14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39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5" w:name="RANGE!D15"/>
            <w:r>
              <w:rPr>
                <w:rFonts w:hint="eastAsia" w:ascii="宋体" w:hAnsi="宋体" w:eastAsia="宋体" w:cs="宋体"/>
                <w:kern w:val="0"/>
                <w:sz w:val="22"/>
              </w:rPr>
              <w:t>0.56</w:t>
            </w:r>
            <w:bookmarkEnd w:id="15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245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DD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0.56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EF7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不满足</w:t>
            </w:r>
          </w:p>
        </w:tc>
      </w:tr>
      <w:tr w14:paraId="1E36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76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立面2外窗（包括透明幕墙）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F1A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6" w:name="RANGE!C16"/>
            <w:r>
              <w:rPr>
                <w:rFonts w:hint="eastAsia" w:ascii="宋体" w:hAnsi="宋体" w:eastAsia="宋体" w:cs="宋体"/>
                <w:kern w:val="0"/>
                <w:sz w:val="22"/>
              </w:rPr>
              <w:t>6.5</w:t>
            </w:r>
            <w:bookmarkEnd w:id="16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49E2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7" w:name="RANGE!D16"/>
            <w:r>
              <w:rPr>
                <w:rFonts w:hint="eastAsia" w:ascii="宋体" w:hAnsi="宋体" w:eastAsia="宋体" w:cs="宋体"/>
                <w:kern w:val="0"/>
                <w:sz w:val="22"/>
              </w:rPr>
              <w:t>0.7</w:t>
            </w:r>
            <w:bookmarkEnd w:id="17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E2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1292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0.7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D5ED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不满足</w:t>
            </w:r>
          </w:p>
        </w:tc>
      </w:tr>
      <w:tr w14:paraId="16771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9D8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立面3外窗（包括透明幕墙）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C6E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8" w:name="RANGE!C17"/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  <w:bookmarkEnd w:id="18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318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9" w:name="RANGE!D17"/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  <w:bookmarkEnd w:id="19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015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DC9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71D0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满足</w:t>
            </w:r>
          </w:p>
        </w:tc>
      </w:tr>
      <w:tr w14:paraId="5AA7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1C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立面4外窗（包括透明幕墙）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7EB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0" w:name="RANGE!C18"/>
            <w:r>
              <w:rPr>
                <w:rFonts w:hint="eastAsia" w:ascii="宋体" w:hAnsi="宋体" w:eastAsia="宋体" w:cs="宋体"/>
                <w:kern w:val="0"/>
                <w:sz w:val="22"/>
              </w:rPr>
              <w:t>6.5</w:t>
            </w:r>
            <w:bookmarkEnd w:id="20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BD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1" w:name="RANGE!D18"/>
            <w:r>
              <w:rPr>
                <w:rFonts w:hint="eastAsia" w:ascii="宋体" w:hAnsi="宋体" w:eastAsia="宋体" w:cs="宋体"/>
                <w:kern w:val="0"/>
                <w:sz w:val="22"/>
              </w:rPr>
              <w:t>0.58</w:t>
            </w:r>
            <w:bookmarkEnd w:id="21"/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417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A6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0.58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097E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不满足</w:t>
            </w:r>
          </w:p>
        </w:tc>
      </w:tr>
      <w:tr w14:paraId="659E6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64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屋面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530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2" w:name="RANGE!C19"/>
            <w:r>
              <w:rPr>
                <w:rFonts w:hint="eastAsia" w:ascii="宋体" w:hAnsi="宋体" w:eastAsia="宋体" w:cs="宋体"/>
                <w:kern w:val="0"/>
                <w:sz w:val="22"/>
              </w:rPr>
              <w:t>0.23</w:t>
            </w:r>
            <w:bookmarkEnd w:id="22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C3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98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2A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E7F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满足</w:t>
            </w:r>
          </w:p>
        </w:tc>
      </w:tr>
      <w:tr w14:paraId="1B62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26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外墙（包括非透光幕墙）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44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3" w:name="RANGE!C20"/>
            <w:r>
              <w:rPr>
                <w:rFonts w:hint="eastAsia" w:ascii="宋体" w:hAnsi="宋体" w:eastAsia="宋体" w:cs="宋体"/>
                <w:kern w:val="0"/>
                <w:sz w:val="22"/>
              </w:rPr>
              <w:t>1.42</w:t>
            </w:r>
            <w:bookmarkEnd w:id="23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C9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68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43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0CB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不满足</w:t>
            </w:r>
          </w:p>
        </w:tc>
      </w:tr>
      <w:tr w14:paraId="7E2A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CFA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底面接触室外空气的架空或外挑楼板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99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4" w:name="RANGE!C21"/>
            <w:r>
              <w:rPr>
                <w:rFonts w:hint="eastAsia" w:ascii="宋体" w:hAnsi="宋体" w:eastAsia="宋体" w:cs="宋体"/>
                <w:kern w:val="0"/>
                <w:sz w:val="22"/>
              </w:rPr>
              <w:t>3.84</w:t>
            </w:r>
            <w:bookmarkEnd w:id="24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39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78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3.84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45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D4A1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满足</w:t>
            </w:r>
          </w:p>
        </w:tc>
      </w:tr>
      <w:tr w14:paraId="3BA4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E5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非供暖房间与供暖房间的隔墙与楼板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80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5" w:name="RANGE!C22"/>
            <w:r>
              <w:rPr>
                <w:rFonts w:hint="eastAsia" w:ascii="宋体" w:hAnsi="宋体" w:eastAsia="宋体" w:cs="宋体"/>
                <w:kern w:val="0"/>
                <w:sz w:val="22"/>
              </w:rPr>
              <w:t>0.9</w:t>
            </w:r>
            <w:bookmarkEnd w:id="25"/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00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E7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0.9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BB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CA1C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满足</w:t>
            </w:r>
          </w:p>
        </w:tc>
      </w:tr>
      <w:tr w14:paraId="73DCA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BB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围护结构部位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F2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设计建筑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47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参照建筑</w:t>
            </w:r>
          </w:p>
        </w:tc>
        <w:tc>
          <w:tcPr>
            <w:tcW w:w="7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B888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是否符合标准规定的限值</w:t>
            </w:r>
          </w:p>
        </w:tc>
      </w:tr>
      <w:tr w14:paraId="4166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DD3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3F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保温材料层热阻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R[（㎡·K）/W]</w:t>
            </w:r>
          </w:p>
        </w:tc>
        <w:tc>
          <w:tcPr>
            <w:tcW w:w="142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06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保温材料层热阻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R[（㎡·K）/W]</w:t>
            </w:r>
          </w:p>
        </w:tc>
        <w:tc>
          <w:tcPr>
            <w:tcW w:w="7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F495E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E63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94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575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89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165FF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23B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97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周边地面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24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3C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3367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270A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0E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供暖地下室与土壤接触的外墙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19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19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394F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3EC1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52A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变形缝（两侧墙内保温时）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FA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6" w:name="RANGE!C28"/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  <w:bookmarkEnd w:id="26"/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B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－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EAD8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2411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1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5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权衡判断基本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要求判定</w:t>
            </w:r>
          </w:p>
        </w:tc>
        <w:tc>
          <w:tcPr>
            <w:tcW w:w="24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E7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围护结构传热系数基本要求K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[W/(㎡·K)]</w:t>
            </w:r>
          </w:p>
        </w:tc>
        <w:tc>
          <w:tcPr>
            <w:tcW w:w="13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56E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设计建筑是否满足基本要求</w:t>
            </w:r>
          </w:p>
        </w:tc>
      </w:tr>
      <w:tr w14:paraId="6252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E79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63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A02BA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FB5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DCA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AD9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0BF9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6BA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59F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E8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屋面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1B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8F4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33F8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639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A5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外墙（包括非透光幕墙）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3F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0FE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1DCC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3DD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AF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外窗（包括透光幕墙）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B20B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立面1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E7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7D1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2F2E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DD7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B20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DD7F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立面2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D1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1D49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36B2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B50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66D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AA6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立面3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2F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8A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38C4A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8A1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558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461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立面4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64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17E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2DEB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670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F8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太阳得热系数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2"/>
              </w:rPr>
              <w:t>SHGC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510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立面1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73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426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6B6A5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4AB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0FB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C4B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立面2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6D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E26C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4183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0D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609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1ABA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立面3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30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F1E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3511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C9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AA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288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立面4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6A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C17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5590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EE8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E0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围护结构是否满足基本要求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AD4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不要求</w:t>
            </w:r>
          </w:p>
        </w:tc>
      </w:tr>
      <w:tr w14:paraId="0CE6F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E4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权衡计算结结果</w:t>
            </w:r>
          </w:p>
        </w:tc>
        <w:tc>
          <w:tcPr>
            <w:tcW w:w="24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549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设计建筑（kWh/㎡）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B3E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参照建筑（kWh/㎡）</w:t>
            </w:r>
          </w:p>
        </w:tc>
      </w:tr>
      <w:tr w14:paraId="0701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1F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全年供暖和空调总耗电量</w:t>
            </w:r>
          </w:p>
        </w:tc>
        <w:tc>
          <w:tcPr>
            <w:tcW w:w="24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05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7" w:name="RANGE!C44"/>
            <w:r>
              <w:rPr>
                <w:rFonts w:hint="eastAsia" w:ascii="宋体" w:hAnsi="宋体" w:eastAsia="宋体" w:cs="宋体"/>
                <w:kern w:val="0"/>
                <w:sz w:val="22"/>
              </w:rPr>
              <w:t>12.37</w:t>
            </w:r>
            <w:bookmarkEnd w:id="27"/>
          </w:p>
        </w:tc>
        <w:tc>
          <w:tcPr>
            <w:tcW w:w="13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213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28" w:name="RANGE!F44"/>
            <w:r>
              <w:rPr>
                <w:rFonts w:hint="eastAsia" w:ascii="宋体" w:hAnsi="宋体" w:eastAsia="宋体" w:cs="宋体"/>
                <w:kern w:val="0"/>
                <w:sz w:val="22"/>
              </w:rPr>
              <w:t>13.87</w:t>
            </w:r>
            <w:bookmarkEnd w:id="28"/>
          </w:p>
        </w:tc>
      </w:tr>
      <w:tr w14:paraId="05AD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2F1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权衡判断结论</w:t>
            </w:r>
          </w:p>
        </w:tc>
        <w:tc>
          <w:tcPr>
            <w:tcW w:w="2477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DD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设计建筑的围护结构热工性能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CC3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满足</w:t>
            </w:r>
          </w:p>
        </w:tc>
      </w:tr>
    </w:tbl>
    <w:p w14:paraId="6164584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7B4"/>
    <w:rsid w:val="001D1D21"/>
    <w:rsid w:val="00307E7A"/>
    <w:rsid w:val="006A0CAD"/>
    <w:rsid w:val="007812B2"/>
    <w:rsid w:val="00944FB3"/>
    <w:rsid w:val="00A242C7"/>
    <w:rsid w:val="00AB1819"/>
    <w:rsid w:val="00AE09F1"/>
    <w:rsid w:val="00CC67B4"/>
    <w:rsid w:val="00DA4488"/>
    <w:rsid w:val="00DD01D6"/>
    <w:rsid w:val="00F46184"/>
    <w:rsid w:val="00F56252"/>
    <w:rsid w:val="00F66A73"/>
    <w:rsid w:val="7DF94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867</Characters>
  <Lines>7</Lines>
  <Paragraphs>2</Paragraphs>
  <TotalTime>29</TotalTime>
  <ScaleCrop>false</ScaleCrop>
  <LinksUpToDate>false</LinksUpToDate>
  <CharactersWithSpaces>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2018-03-20T06:53:00Z</dcterms:created>
  <dc:creator>周敏杰</dc:creator>
  <cp:lastModifiedBy>xh</cp:lastModifiedBy>
  <dcterms:modified xsi:type="dcterms:W3CDTF">2025-12-28T14:50:31Z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eyJoZGlkIjoiZTExOWUwMzNlYzcyNjk0ZjM5ODc3NGNmZDI4Y2VlOTUiLCJ1c2VySWQiOiIxMzk0MzI1NjU4In0=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6CB7A59843C749DEA7748C086429961D_12</vt:lpwstr>
  </property>
</Properties>
</file>